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52"/>
          <w:szCs w:val="52"/>
        </w:rPr>
      </w:pPr>
      <w:r>
        <w:rPr>
          <w:rFonts w:hint="eastAsia" w:ascii="宋体" w:hAnsi="宋体" w:eastAsia="宋体" w:cs="宋体"/>
          <w:b/>
          <w:sz w:val="52"/>
          <w:szCs w:val="52"/>
        </w:rPr>
        <w:t>重庆标准件工业有限责任公司</w:t>
      </w:r>
    </w:p>
    <w:p>
      <w:pPr>
        <w:jc w:val="center"/>
        <w:rPr>
          <w:rFonts w:ascii="宋体" w:hAnsi="宋体" w:eastAsia="宋体" w:cs="宋体"/>
          <w:sz w:val="52"/>
          <w:szCs w:val="52"/>
        </w:rPr>
      </w:pPr>
    </w:p>
    <w:p>
      <w:pPr>
        <w:pStyle w:val="15"/>
        <w:ind w:firstLine="400"/>
      </w:pPr>
    </w:p>
    <w:p>
      <w:pPr>
        <w:jc w:val="center"/>
        <w:rPr>
          <w:rFonts w:ascii="宋体" w:hAnsi="宋体" w:eastAsia="宋体" w:cs="宋体"/>
          <w:b/>
          <w:sz w:val="84"/>
          <w:szCs w:val="84"/>
        </w:rPr>
      </w:pPr>
      <w:r>
        <w:rPr>
          <w:rFonts w:hint="eastAsia" w:ascii="宋体" w:hAnsi="宋体" w:eastAsia="宋体" w:cs="宋体"/>
          <w:b/>
          <w:sz w:val="84"/>
          <w:szCs w:val="84"/>
        </w:rPr>
        <w:t xml:space="preserve">招标文件 </w:t>
      </w:r>
    </w:p>
    <w:p>
      <w:pPr>
        <w:jc w:val="center"/>
        <w:rPr>
          <w:rFonts w:ascii="宋体" w:hAnsi="宋体" w:eastAsia="宋体" w:cs="宋体"/>
          <w:b/>
          <w:sz w:val="84"/>
          <w:szCs w:val="84"/>
        </w:rPr>
      </w:pPr>
    </w:p>
    <w:p>
      <w:pPr>
        <w:jc w:val="center"/>
        <w:rPr>
          <w:rFonts w:ascii="宋体" w:hAnsi="宋体" w:eastAsia="宋体" w:cs="宋体"/>
          <w:b/>
          <w:sz w:val="84"/>
          <w:szCs w:val="84"/>
        </w:rPr>
      </w:pPr>
    </w:p>
    <w:p>
      <w:pPr>
        <w:jc w:val="center"/>
        <w:rPr>
          <w:rFonts w:ascii="宋体" w:hAnsi="宋体" w:eastAsia="宋体" w:cs="宋体"/>
          <w:b/>
          <w:sz w:val="84"/>
          <w:szCs w:val="84"/>
        </w:rPr>
      </w:pPr>
    </w:p>
    <w:p>
      <w:pPr>
        <w:jc w:val="center"/>
        <w:rPr>
          <w:rFonts w:ascii="宋体" w:hAnsi="宋体" w:eastAsia="宋体" w:cs="宋体"/>
          <w:b/>
          <w:sz w:val="84"/>
          <w:szCs w:val="84"/>
        </w:rPr>
      </w:pPr>
    </w:p>
    <w:p>
      <w:pPr>
        <w:jc w:val="center"/>
        <w:rPr>
          <w:rFonts w:ascii="宋体" w:hAnsi="宋体" w:eastAsia="宋体" w:cs="宋体"/>
          <w:sz w:val="52"/>
          <w:szCs w:val="52"/>
        </w:rPr>
      </w:pPr>
    </w:p>
    <w:p>
      <w:pPr>
        <w:ind w:left="2265" w:leftChars="150" w:hanging="1950" w:hangingChars="650"/>
        <w:rPr>
          <w:rFonts w:ascii="宋体" w:hAnsi="宋体" w:eastAsia="宋体" w:cs="宋体"/>
          <w:b/>
          <w:bCs/>
          <w:sz w:val="30"/>
          <w:szCs w:val="30"/>
        </w:rPr>
      </w:pPr>
      <w:r>
        <w:rPr>
          <w:rFonts w:hint="eastAsia" w:ascii="宋体" w:hAnsi="宋体" w:eastAsia="宋体" w:cs="宋体"/>
          <w:sz w:val="30"/>
          <w:szCs w:val="30"/>
        </w:rPr>
        <w:t xml:space="preserve">   </w:t>
      </w:r>
      <w:r>
        <w:rPr>
          <w:rFonts w:hint="eastAsia" w:ascii="宋体" w:hAnsi="宋体" w:eastAsia="宋体" w:cs="宋体"/>
          <w:b/>
          <w:bCs/>
          <w:sz w:val="30"/>
          <w:szCs w:val="30"/>
        </w:rPr>
        <w:t>项目名称：重庆标准件工业有限责任公司</w:t>
      </w:r>
    </w:p>
    <w:p>
      <w:pPr>
        <w:ind w:firstLine="2400" w:firstLineChars="800"/>
        <w:rPr>
          <w:rFonts w:ascii="宋体" w:hAnsi="宋体" w:eastAsia="宋体" w:cs="宋体"/>
          <w:b/>
          <w:bCs/>
          <w:sz w:val="28"/>
          <w:szCs w:val="28"/>
        </w:rPr>
      </w:pPr>
      <w:r>
        <w:rPr>
          <w:rFonts w:hint="eastAsia" w:ascii="宋体" w:hAnsi="宋体" w:eastAsia="宋体" w:cs="宋体"/>
          <w:b/>
          <w:bCs/>
          <w:sz w:val="30"/>
          <w:szCs w:val="30"/>
        </w:rPr>
        <w:t>汽标公司</w:t>
      </w:r>
      <w:r>
        <w:rPr>
          <w:rFonts w:ascii="宋体" w:hAnsi="宋体" w:eastAsia="宋体" w:cs="宋体"/>
          <w:b/>
          <w:bCs/>
          <w:sz w:val="30"/>
          <w:szCs w:val="30"/>
        </w:rPr>
        <w:t>PLM</w:t>
      </w:r>
      <w:r>
        <w:rPr>
          <w:rFonts w:hint="eastAsia" w:ascii="宋体" w:hAnsi="宋体" w:eastAsia="宋体" w:cs="宋体"/>
          <w:b/>
          <w:bCs/>
          <w:sz w:val="30"/>
          <w:szCs w:val="30"/>
        </w:rPr>
        <w:t>项目</w:t>
      </w:r>
      <w:r>
        <w:rPr>
          <w:rFonts w:hint="eastAsia" w:ascii="宋体" w:hAnsi="宋体" w:eastAsia="宋体" w:cs="宋体"/>
          <w:b/>
          <w:bCs/>
          <w:sz w:val="28"/>
          <w:szCs w:val="28"/>
        </w:rPr>
        <w:t xml:space="preserve">           </w:t>
      </w:r>
    </w:p>
    <w:p>
      <w:pPr>
        <w:ind w:firstLine="450" w:firstLineChars="150"/>
        <w:rPr>
          <w:rFonts w:ascii="宋体" w:hAnsi="宋体" w:eastAsia="宋体" w:cs="宋体"/>
          <w:b/>
          <w:bCs/>
          <w:sz w:val="30"/>
          <w:szCs w:val="30"/>
        </w:rPr>
      </w:pPr>
      <w:r>
        <w:rPr>
          <w:rFonts w:hint="eastAsia" w:ascii="宋体" w:hAnsi="宋体" w:eastAsia="宋体" w:cs="宋体"/>
          <w:b/>
          <w:bCs/>
          <w:sz w:val="30"/>
          <w:szCs w:val="30"/>
        </w:rPr>
        <w:t xml:space="preserve">  招标编号：</w:t>
      </w:r>
      <w:r>
        <w:rPr>
          <w:rFonts w:hint="eastAsia" w:ascii="宋体" w:hAnsi="宋体" w:eastAsia="宋体" w:cs="宋体"/>
          <w:b/>
          <w:bCs/>
          <w:color w:val="auto"/>
          <w:sz w:val="30"/>
          <w:szCs w:val="30"/>
          <w:highlight w:val="none"/>
        </w:rPr>
        <w:t>CFIC202</w:t>
      </w:r>
      <w:r>
        <w:rPr>
          <w:rFonts w:hint="eastAsia" w:ascii="宋体" w:hAnsi="宋体" w:eastAsia="宋体" w:cs="宋体"/>
          <w:b/>
          <w:bCs/>
          <w:color w:val="auto"/>
          <w:sz w:val="30"/>
          <w:szCs w:val="30"/>
          <w:highlight w:val="none"/>
          <w:lang w:val="en-US" w:eastAsia="zh-CN"/>
        </w:rPr>
        <w:t>4</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lang w:val="en-US" w:eastAsia="zh-CN"/>
        </w:rPr>
        <w:t>LHZ0401</w:t>
      </w:r>
    </w:p>
    <w:p>
      <w:pPr>
        <w:ind w:firstLine="450" w:firstLineChars="150"/>
        <w:rPr>
          <w:rFonts w:ascii="宋体" w:hAnsi="宋体" w:eastAsia="宋体" w:cs="宋体"/>
          <w:b/>
          <w:bCs/>
          <w:sz w:val="30"/>
          <w:szCs w:val="30"/>
          <w:highlight w:val="none"/>
          <w:u w:val="single"/>
        </w:rPr>
      </w:pPr>
      <w:r>
        <w:rPr>
          <w:rFonts w:hint="eastAsia" w:ascii="宋体" w:hAnsi="宋体" w:eastAsia="宋体" w:cs="宋体"/>
          <w:b/>
          <w:bCs/>
          <w:sz w:val="30"/>
          <w:szCs w:val="30"/>
        </w:rPr>
        <w:t xml:space="preserve">  编制时间：2024年</w:t>
      </w:r>
      <w:r>
        <w:rPr>
          <w:rFonts w:hint="eastAsia" w:ascii="宋体" w:hAnsi="宋体" w:eastAsia="宋体" w:cs="宋体"/>
          <w:b/>
          <w:bCs/>
          <w:sz w:val="30"/>
          <w:szCs w:val="30"/>
          <w:highlight w:val="none"/>
          <w:lang w:val="en-US" w:eastAsia="zh-CN"/>
        </w:rPr>
        <w:t>04</w:t>
      </w:r>
      <w:r>
        <w:rPr>
          <w:rFonts w:hint="eastAsia" w:ascii="宋体" w:hAnsi="宋体" w:eastAsia="宋体" w:cs="宋体"/>
          <w:b/>
          <w:bCs/>
          <w:sz w:val="30"/>
          <w:szCs w:val="30"/>
          <w:highlight w:val="none"/>
        </w:rPr>
        <w:t>月</w:t>
      </w:r>
      <w:r>
        <w:rPr>
          <w:rFonts w:hint="eastAsia" w:ascii="宋体" w:hAnsi="宋体" w:eastAsia="宋体" w:cs="宋体"/>
          <w:b/>
          <w:bCs/>
          <w:sz w:val="30"/>
          <w:szCs w:val="30"/>
          <w:highlight w:val="none"/>
          <w:lang w:val="en-US" w:eastAsia="zh-CN"/>
        </w:rPr>
        <w:t>16</w:t>
      </w:r>
      <w:r>
        <w:rPr>
          <w:rFonts w:hint="eastAsia" w:ascii="宋体" w:hAnsi="宋体" w:eastAsia="宋体" w:cs="宋体"/>
          <w:b/>
          <w:bCs/>
          <w:sz w:val="30"/>
          <w:szCs w:val="30"/>
          <w:highlight w:val="none"/>
        </w:rPr>
        <w:t>日</w:t>
      </w: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tabs>
          <w:tab w:val="left" w:pos="1050"/>
          <w:tab w:val="left" w:pos="1470"/>
        </w:tabs>
        <w:spacing w:line="360" w:lineRule="auto"/>
        <w:ind w:left="-2" w:leftChars="-1" w:firstLine="1"/>
        <w:jc w:val="center"/>
        <w:rPr>
          <w:rFonts w:ascii="宋体" w:hAnsi="宋体" w:eastAsia="宋体" w:cs="宋体"/>
          <w:b/>
          <w:sz w:val="28"/>
          <w:szCs w:val="28"/>
        </w:rPr>
      </w:pPr>
      <w:r>
        <w:rPr>
          <w:rFonts w:hint="eastAsia" w:ascii="宋体" w:hAnsi="宋体" w:eastAsia="宋体" w:cs="宋体"/>
          <w:b/>
          <w:sz w:val="28"/>
          <w:szCs w:val="28"/>
        </w:rPr>
        <w:t>投标邀请</w:t>
      </w:r>
    </w:p>
    <w:p>
      <w:pPr>
        <w:pStyle w:val="11"/>
        <w:ind w:left="0" w:leftChars="0" w:firstLine="480" w:firstLineChars="200"/>
        <w:rPr>
          <w:rFonts w:eastAsia="宋体" w:cs="宋体"/>
          <w:color w:val="auto"/>
        </w:rPr>
      </w:pPr>
      <w:r>
        <w:rPr>
          <w:rFonts w:hint="eastAsia" w:eastAsia="宋体" w:cs="宋体"/>
          <w:color w:val="auto"/>
        </w:rPr>
        <w:t>重庆标准件工业有限责任公司对</w:t>
      </w:r>
      <w:r>
        <w:rPr>
          <w:rFonts w:hint="eastAsia" w:eastAsia="宋体" w:cs="宋体"/>
          <w:color w:val="auto"/>
          <w:kern w:val="10"/>
        </w:rPr>
        <w:t>重庆汽车标准件厂有限责任公司</w:t>
      </w:r>
      <w:r>
        <w:rPr>
          <w:rFonts w:eastAsia="宋体" w:cs="宋体"/>
          <w:color w:val="auto"/>
          <w:kern w:val="10"/>
        </w:rPr>
        <w:t>PLM</w:t>
      </w:r>
      <w:r>
        <w:rPr>
          <w:rFonts w:hint="eastAsia" w:eastAsia="宋体" w:cs="宋体"/>
          <w:color w:val="auto"/>
        </w:rPr>
        <w:t>项目进行国内招标。特邀请具有设计、生产、供应能力的厂商前来投标。</w:t>
      </w:r>
    </w:p>
    <w:p>
      <w:pPr>
        <w:numPr>
          <w:ilvl w:val="0"/>
          <w:numId w:val="1"/>
        </w:numPr>
        <w:tabs>
          <w:tab w:val="left" w:pos="1050"/>
          <w:tab w:val="left" w:pos="1470"/>
        </w:tabs>
        <w:spacing w:line="360" w:lineRule="auto"/>
        <w:rPr>
          <w:rFonts w:ascii="宋体" w:hAnsi="宋体" w:eastAsia="宋体" w:cs="宋体"/>
          <w:sz w:val="24"/>
        </w:rPr>
      </w:pPr>
      <w:r>
        <w:rPr>
          <w:rFonts w:hint="eastAsia" w:ascii="宋体" w:hAnsi="宋体" w:eastAsia="宋体" w:cs="宋体"/>
          <w:sz w:val="24"/>
        </w:rPr>
        <w:t>招标内容：重庆标准件工业有限责任公司汽标公司</w:t>
      </w:r>
      <w:r>
        <w:rPr>
          <w:rFonts w:ascii="宋体" w:hAnsi="宋体" w:eastAsia="宋体" w:cs="宋体"/>
          <w:sz w:val="24"/>
        </w:rPr>
        <w:t>PLM</w:t>
      </w:r>
      <w:r>
        <w:rPr>
          <w:rFonts w:hint="eastAsia" w:ascii="宋体" w:hAnsi="宋体" w:eastAsia="宋体" w:cs="宋体"/>
          <w:sz w:val="24"/>
        </w:rPr>
        <w:t>项目</w:t>
      </w:r>
    </w:p>
    <w:p>
      <w:pPr>
        <w:tabs>
          <w:tab w:val="left" w:pos="1050"/>
          <w:tab w:val="left" w:pos="1470"/>
        </w:tabs>
        <w:spacing w:line="360" w:lineRule="auto"/>
        <w:ind w:left="480"/>
        <w:rPr>
          <w:rFonts w:ascii="宋体" w:hAnsi="宋体" w:eastAsia="宋体" w:cs="宋体"/>
          <w:sz w:val="24"/>
        </w:rPr>
      </w:pPr>
      <w:r>
        <w:rPr>
          <w:rFonts w:hint="eastAsia" w:ascii="宋体" w:hAnsi="宋体" w:eastAsia="宋体" w:cs="宋体"/>
          <w:sz w:val="24"/>
        </w:rPr>
        <w:t>2、招标人：重庆标准件工业有限责任公司</w:t>
      </w:r>
    </w:p>
    <w:p>
      <w:pPr>
        <w:tabs>
          <w:tab w:val="left" w:pos="1050"/>
          <w:tab w:val="left" w:pos="1470"/>
        </w:tabs>
        <w:spacing w:line="360" w:lineRule="auto"/>
        <w:ind w:left="840"/>
        <w:rPr>
          <w:rFonts w:ascii="宋体" w:hAnsi="宋体" w:eastAsia="宋体" w:cs="宋体"/>
          <w:sz w:val="24"/>
        </w:rPr>
      </w:pPr>
      <w:r>
        <w:rPr>
          <w:rFonts w:hint="eastAsia" w:ascii="宋体" w:hAnsi="宋体" w:eastAsia="宋体" w:cs="宋体"/>
          <w:sz w:val="24"/>
        </w:rPr>
        <w:t>地  址：重庆市江津区双福镇祥福路9号</w:t>
      </w:r>
    </w:p>
    <w:p>
      <w:pPr>
        <w:tabs>
          <w:tab w:val="left" w:pos="1050"/>
          <w:tab w:val="left" w:pos="1470"/>
        </w:tabs>
        <w:spacing w:line="360" w:lineRule="auto"/>
        <w:ind w:left="840"/>
        <w:rPr>
          <w:rFonts w:ascii="宋体" w:hAnsi="宋体" w:eastAsia="宋体" w:cs="宋体"/>
          <w:sz w:val="24"/>
        </w:rPr>
      </w:pPr>
      <w:r>
        <w:rPr>
          <w:rFonts w:hint="eastAsia" w:ascii="宋体" w:hAnsi="宋体" w:eastAsia="宋体" w:cs="宋体"/>
          <w:sz w:val="24"/>
        </w:rPr>
        <w:t>邮  编：402260</w:t>
      </w:r>
    </w:p>
    <w:p>
      <w:pPr>
        <w:tabs>
          <w:tab w:val="left" w:pos="1050"/>
          <w:tab w:val="left" w:pos="1470"/>
        </w:tabs>
        <w:spacing w:line="360" w:lineRule="auto"/>
        <w:ind w:firstLine="840" w:firstLineChars="350"/>
        <w:rPr>
          <w:rFonts w:ascii="宋体" w:hAnsi="宋体" w:eastAsia="宋体" w:cs="宋体"/>
          <w:sz w:val="24"/>
        </w:rPr>
      </w:pPr>
      <w:r>
        <w:rPr>
          <w:rFonts w:hint="eastAsia" w:ascii="宋体" w:hAnsi="宋体" w:eastAsia="宋体" w:cs="宋体"/>
          <w:sz w:val="24"/>
        </w:rPr>
        <w:t>电  话：023-85576000</w:t>
      </w:r>
    </w:p>
    <w:p>
      <w:pPr>
        <w:tabs>
          <w:tab w:val="left" w:pos="1050"/>
          <w:tab w:val="left" w:pos="1470"/>
        </w:tabs>
        <w:spacing w:line="360" w:lineRule="auto"/>
        <w:ind w:firstLine="840" w:firstLineChars="350"/>
        <w:rPr>
          <w:rFonts w:ascii="宋体" w:hAnsi="宋体" w:eastAsia="宋体" w:cs="宋体"/>
          <w:sz w:val="24"/>
        </w:rPr>
      </w:pPr>
      <w:r>
        <w:rPr>
          <w:rFonts w:hint="eastAsia" w:ascii="宋体" w:hAnsi="宋体" w:eastAsia="宋体" w:cs="宋体"/>
          <w:sz w:val="24"/>
        </w:rPr>
        <w:t>传  真：023-85578018</w:t>
      </w:r>
    </w:p>
    <w:p>
      <w:pPr>
        <w:tabs>
          <w:tab w:val="left" w:pos="1050"/>
          <w:tab w:val="left" w:pos="1470"/>
        </w:tabs>
        <w:spacing w:line="360" w:lineRule="auto"/>
        <w:ind w:left="117" w:firstLine="480" w:firstLineChars="200"/>
        <w:rPr>
          <w:rFonts w:ascii="宋体" w:hAnsi="宋体" w:eastAsia="宋体" w:cs="宋体"/>
          <w:sz w:val="24"/>
        </w:rPr>
      </w:pPr>
      <w:r>
        <w:rPr>
          <w:rFonts w:hint="eastAsia" w:ascii="宋体" w:hAnsi="宋体" w:eastAsia="宋体" w:cs="宋体"/>
          <w:sz w:val="24"/>
        </w:rPr>
        <w:t>3、招标文件获取：</w:t>
      </w:r>
    </w:p>
    <w:p>
      <w:pPr>
        <w:tabs>
          <w:tab w:val="left" w:pos="1050"/>
          <w:tab w:val="left" w:pos="1470"/>
        </w:tabs>
        <w:spacing w:line="360" w:lineRule="auto"/>
        <w:ind w:left="240" w:hanging="240" w:hangingChars="100"/>
        <w:rPr>
          <w:rFonts w:ascii="宋体" w:hAnsi="宋体" w:eastAsia="宋体" w:cs="宋体"/>
          <w:sz w:val="24"/>
        </w:rPr>
      </w:pPr>
      <w:r>
        <w:rPr>
          <w:rFonts w:hint="eastAsia" w:ascii="宋体" w:hAnsi="宋体" w:eastAsia="宋体" w:cs="宋体"/>
          <w:sz w:val="24"/>
        </w:rPr>
        <w:t xml:space="preserve">      凡愿意参加的潜在投标人，从2024年</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17</w:t>
      </w:r>
      <w:r>
        <w:rPr>
          <w:rFonts w:hint="eastAsia" w:ascii="宋体" w:hAnsi="宋体" w:eastAsia="宋体" w:cs="宋体"/>
          <w:sz w:val="24"/>
          <w:highlight w:val="none"/>
        </w:rPr>
        <w:t>日</w:t>
      </w:r>
      <w:r>
        <w:rPr>
          <w:rFonts w:hint="eastAsia" w:ascii="宋体" w:hAnsi="宋体" w:eastAsia="宋体" w:cs="宋体"/>
          <w:sz w:val="24"/>
        </w:rPr>
        <w:t>起至投标截止时间2024年</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月</w:t>
      </w:r>
      <w:r>
        <w:rPr>
          <w:rFonts w:hint="eastAsia" w:ascii="宋体" w:hAnsi="宋体" w:eastAsia="宋体" w:cs="宋体"/>
          <w:b w:val="0"/>
          <w:bCs w:val="0"/>
          <w:color w:val="auto"/>
          <w:sz w:val="24"/>
          <w:highlight w:val="none"/>
          <w:lang w:val="en-US" w:eastAsia="zh-CN"/>
        </w:rPr>
        <w:t>23</w:t>
      </w:r>
      <w:r>
        <w:rPr>
          <w:rFonts w:hint="eastAsia" w:ascii="宋体" w:hAnsi="宋体" w:eastAsia="宋体" w:cs="宋体"/>
          <w:sz w:val="24"/>
        </w:rPr>
        <w:t>日</w:t>
      </w:r>
      <w:r>
        <w:rPr>
          <w:rFonts w:hint="eastAsia" w:ascii="宋体" w:hAnsi="宋体" w:eastAsia="宋体" w:cs="宋体"/>
          <w:sz w:val="24"/>
          <w:lang w:val="en-US" w:eastAsia="zh-CN"/>
        </w:rPr>
        <w:t>17：00</w:t>
      </w:r>
      <w:r>
        <w:rPr>
          <w:rFonts w:hint="eastAsia" w:ascii="宋体" w:hAnsi="宋体" w:eastAsia="宋体" w:cs="宋体"/>
          <w:sz w:val="24"/>
        </w:rPr>
        <w:t>（北京时间）前，均可登陸《重庆标准件工业有限责任公司官网》（网址：http://www.cqfic.com/）直接下载获取招标文件（图纸、答疑）等开标前的有关资料。在公告期间，各投标人应随时关注网上发布的招标文件答疑、补遗、澄清等文件内容，不管投标人是否下载，均视为已知晓招标文件的全部内容和有关事宜。本项目不需要报名，直接投标。</w:t>
      </w:r>
    </w:p>
    <w:p>
      <w:pPr>
        <w:tabs>
          <w:tab w:val="left" w:pos="1050"/>
          <w:tab w:val="left" w:pos="1470"/>
        </w:tabs>
        <w:spacing w:line="360" w:lineRule="auto"/>
        <w:ind w:left="117" w:firstLine="480" w:firstLineChars="200"/>
        <w:rPr>
          <w:rFonts w:ascii="宋体" w:hAnsi="宋体" w:eastAsia="宋体" w:cs="宋体"/>
          <w:sz w:val="24"/>
        </w:rPr>
      </w:pPr>
      <w:r>
        <w:rPr>
          <w:rFonts w:hint="eastAsia" w:ascii="宋体" w:hAnsi="宋体" w:eastAsia="宋体" w:cs="宋体"/>
          <w:sz w:val="24"/>
        </w:rPr>
        <w:t>4、投标截止时间：2024年</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月</w:t>
      </w:r>
      <w:r>
        <w:rPr>
          <w:rFonts w:hint="eastAsia" w:ascii="宋体" w:hAnsi="宋体" w:eastAsia="宋体" w:cs="宋体"/>
          <w:b w:val="0"/>
          <w:bCs w:val="0"/>
          <w:sz w:val="24"/>
          <w:highlight w:val="none"/>
          <w:lang w:val="en-US" w:eastAsia="zh-CN"/>
        </w:rPr>
        <w:t>23</w:t>
      </w:r>
      <w:r>
        <w:rPr>
          <w:rFonts w:hint="eastAsia" w:ascii="宋体" w:hAnsi="宋体" w:eastAsia="宋体" w:cs="宋体"/>
          <w:sz w:val="24"/>
        </w:rPr>
        <w:t>日</w:t>
      </w:r>
      <w:r>
        <w:rPr>
          <w:rFonts w:hint="eastAsia" w:ascii="宋体" w:hAnsi="宋体" w:eastAsia="宋体" w:cs="宋体"/>
          <w:sz w:val="24"/>
          <w:lang w:val="en-US" w:eastAsia="zh-CN"/>
        </w:rPr>
        <w:t>17：00</w:t>
      </w:r>
      <w:r>
        <w:rPr>
          <w:rFonts w:hint="eastAsia" w:ascii="宋体" w:hAnsi="宋体" w:eastAsia="宋体" w:cs="宋体"/>
          <w:sz w:val="24"/>
        </w:rPr>
        <w:t>（北京时间）。</w:t>
      </w:r>
    </w:p>
    <w:p>
      <w:pPr>
        <w:tabs>
          <w:tab w:val="left" w:pos="1050"/>
          <w:tab w:val="left" w:pos="1470"/>
        </w:tabs>
        <w:spacing w:line="360" w:lineRule="auto"/>
        <w:ind w:firstLine="480" w:firstLineChars="200"/>
        <w:rPr>
          <w:sz w:val="24"/>
        </w:rPr>
      </w:pPr>
      <w:r>
        <w:rPr>
          <w:rFonts w:hint="eastAsia" w:ascii="宋体" w:hAnsi="宋体" w:eastAsia="宋体" w:cs="宋体"/>
          <w:sz w:val="24"/>
        </w:rPr>
        <w:t>投标地点：</w:t>
      </w:r>
      <w:r>
        <w:rPr>
          <w:rFonts w:hint="eastAsia"/>
          <w:sz w:val="24"/>
        </w:rPr>
        <w:t>江津区双福工业园祥福路</w:t>
      </w:r>
      <w:r>
        <w:rPr>
          <w:rFonts w:hint="eastAsia"/>
          <w:b w:val="0"/>
          <w:bCs w:val="0"/>
          <w:sz w:val="24"/>
        </w:rPr>
        <w:t>9</w:t>
      </w:r>
      <w:r>
        <w:rPr>
          <w:rFonts w:hint="eastAsia"/>
          <w:sz w:val="24"/>
        </w:rPr>
        <w:t>号重庆标准件工业有限责任公司纪检审计部</w:t>
      </w:r>
      <w:r>
        <w:rPr>
          <w:rFonts w:hint="eastAsia" w:eastAsia="宋体"/>
          <w:sz w:val="24"/>
          <w:lang w:val="en-US" w:eastAsia="zh-CN"/>
        </w:rPr>
        <w:t>413</w:t>
      </w:r>
      <w:r>
        <w:rPr>
          <w:rFonts w:hint="eastAsia"/>
          <w:sz w:val="24"/>
        </w:rPr>
        <w:t>室</w:t>
      </w:r>
    </w:p>
    <w:p>
      <w:pPr>
        <w:tabs>
          <w:tab w:val="left" w:pos="1050"/>
          <w:tab w:val="left" w:pos="1470"/>
        </w:tabs>
        <w:spacing w:line="360" w:lineRule="auto"/>
        <w:ind w:left="117" w:firstLine="480" w:firstLineChars="200"/>
        <w:rPr>
          <w:rFonts w:hint="eastAsia" w:ascii="宋体" w:hAnsi="宋体" w:eastAsia="宋体" w:cs="宋体"/>
          <w:color w:val="auto"/>
          <w:sz w:val="24"/>
          <w:highlight w:val="none"/>
        </w:rPr>
      </w:pPr>
      <w:r>
        <w:rPr>
          <w:rFonts w:hint="eastAsia" w:ascii="宋体" w:hAnsi="宋体" w:eastAsia="宋体" w:cs="宋体"/>
          <w:sz w:val="24"/>
        </w:rPr>
        <w:t>联系人</w:t>
      </w:r>
      <w:r>
        <w:rPr>
          <w:rFonts w:hint="eastAsia" w:ascii="宋体" w:hAnsi="宋体" w:eastAsia="宋体" w:cs="宋体"/>
          <w:sz w:val="24"/>
          <w:lang w:eastAsia="zh-CN"/>
        </w:rPr>
        <w:t>：</w:t>
      </w:r>
      <w:r>
        <w:rPr>
          <w:rFonts w:hint="eastAsia" w:ascii="宋体" w:hAnsi="宋体" w:eastAsia="宋体" w:cs="宋体"/>
          <w:color w:val="auto"/>
          <w:sz w:val="24"/>
          <w:highlight w:val="none"/>
        </w:rPr>
        <w:t>何老师</w:t>
      </w:r>
    </w:p>
    <w:p>
      <w:pPr>
        <w:tabs>
          <w:tab w:val="left" w:pos="1050"/>
          <w:tab w:val="left" w:pos="1470"/>
        </w:tabs>
        <w:spacing w:line="360" w:lineRule="auto"/>
        <w:ind w:left="117"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联系电话：</w:t>
      </w:r>
      <w:r>
        <w:rPr>
          <w:rFonts w:hint="eastAsia"/>
          <w:color w:val="auto"/>
          <w:sz w:val="24"/>
          <w:highlight w:val="none"/>
        </w:rPr>
        <w:t>023-855780</w:t>
      </w:r>
      <w:r>
        <w:rPr>
          <w:rFonts w:hint="eastAsia"/>
          <w:color w:val="auto"/>
          <w:sz w:val="24"/>
          <w:highlight w:val="none"/>
          <w:lang w:val="en-US" w:eastAsia="zh-CN"/>
        </w:rPr>
        <w:t>23</w:t>
      </w:r>
    </w:p>
    <w:p>
      <w:pPr>
        <w:ind w:firstLine="480" w:firstLineChars="200"/>
        <w:rPr>
          <w:rFonts w:ascii="宋体" w:hAnsi="宋体" w:eastAsia="宋体" w:cs="宋体"/>
          <w:b/>
          <w:kern w:val="0"/>
          <w:sz w:val="28"/>
          <w:szCs w:val="28"/>
        </w:rPr>
      </w:pPr>
      <w:r>
        <w:rPr>
          <w:rFonts w:hint="eastAsia" w:ascii="宋体" w:hAnsi="宋体" w:eastAsia="宋体" w:cs="宋体"/>
          <w:sz w:val="24"/>
        </w:rPr>
        <w:t>5、开标评标地点：</w:t>
      </w:r>
      <w:r>
        <w:rPr>
          <w:rFonts w:hint="eastAsia" w:ascii="宋体" w:hAnsi="宋体" w:eastAsia="宋体" w:cs="宋体"/>
          <w:color w:val="auto"/>
          <w:sz w:val="24"/>
          <w:highlight w:val="none"/>
        </w:rPr>
        <w:t>重庆标准件工业有限责任公司会议室</w:t>
      </w:r>
      <w:r>
        <w:rPr>
          <w:rFonts w:hint="eastAsia" w:ascii="宋体" w:hAnsi="宋体" w:eastAsia="宋体" w:cs="宋体"/>
          <w:sz w:val="24"/>
        </w:rPr>
        <w:t xml:space="preserve"> </w:t>
      </w: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p>
    <w:p>
      <w:pPr>
        <w:rPr>
          <w:rFonts w:ascii="宋体" w:hAnsi="宋体" w:cs="宋体"/>
          <w:b/>
          <w:kern w:val="0"/>
          <w:sz w:val="28"/>
          <w:szCs w:val="28"/>
        </w:rPr>
      </w:pPr>
      <w:r>
        <w:rPr>
          <w:rFonts w:hint="eastAsia" w:ascii="宋体" w:hAnsi="宋体" w:cs="宋体"/>
          <w:b/>
          <w:kern w:val="0"/>
          <w:sz w:val="28"/>
          <w:szCs w:val="28"/>
        </w:rPr>
        <w:t>一、投标方资格条件及业绩要求</w:t>
      </w:r>
    </w:p>
    <w:p>
      <w:pPr>
        <w:widowControl/>
        <w:tabs>
          <w:tab w:val="left" w:pos="540"/>
        </w:tabs>
        <w:spacing w:line="360" w:lineRule="auto"/>
        <w:ind w:firstLine="480" w:firstLineChars="200"/>
        <w:jc w:val="left"/>
        <w:rPr>
          <w:sz w:val="24"/>
        </w:rPr>
      </w:pPr>
      <w:r>
        <w:rPr>
          <w:rFonts w:hint="eastAsia"/>
          <w:sz w:val="24"/>
        </w:rPr>
        <w:t xml:space="preserve">1. 投标方必须是具有独立承担民事责任能力的法人企业； </w:t>
      </w:r>
    </w:p>
    <w:p>
      <w:pPr>
        <w:spacing w:line="520" w:lineRule="exact"/>
        <w:ind w:firstLine="480" w:firstLineChars="200"/>
        <w:rPr>
          <w:sz w:val="24"/>
        </w:rPr>
      </w:pPr>
      <w:r>
        <w:rPr>
          <w:rFonts w:hint="eastAsia"/>
          <w:sz w:val="24"/>
        </w:rPr>
        <w:t>2. 业绩要求：投标人自2021年1月1日起至投标截止之日止（以合同签订时间为准），至少具有不低于</w:t>
      </w:r>
      <w:r>
        <w:rPr>
          <w:rFonts w:hint="eastAsia" w:eastAsia="宋体"/>
          <w:sz w:val="24"/>
          <w:highlight w:val="none"/>
          <w:lang w:val="en-US" w:eastAsia="zh-CN"/>
        </w:rPr>
        <w:t>1</w:t>
      </w:r>
      <w:r>
        <w:rPr>
          <w:rFonts w:hint="eastAsia"/>
          <w:sz w:val="24"/>
        </w:rPr>
        <w:t>个单个合同金额&gt;50万元的汽车零部件</w:t>
      </w:r>
      <w:r>
        <w:rPr>
          <w:sz w:val="24"/>
        </w:rPr>
        <w:t>PLM</w:t>
      </w:r>
      <w:r>
        <w:rPr>
          <w:rFonts w:hint="eastAsia"/>
          <w:sz w:val="24"/>
        </w:rPr>
        <w:t>项目销售业绩（提供合同复印件和验收文件加盖投标单位公章）；</w:t>
      </w:r>
    </w:p>
    <w:p>
      <w:pPr>
        <w:spacing w:line="520" w:lineRule="exact"/>
        <w:ind w:firstLine="480" w:firstLineChars="200"/>
        <w:rPr>
          <w:sz w:val="24"/>
        </w:rPr>
      </w:pPr>
      <w:r>
        <w:rPr>
          <w:sz w:val="24"/>
        </w:rPr>
        <w:t>3</w:t>
      </w:r>
      <w:r>
        <w:rPr>
          <w:rFonts w:hint="eastAsia"/>
          <w:sz w:val="24"/>
        </w:rPr>
        <w:t>. 投标方具有有效年审期内的营业执照，且注册资本金不低于</w:t>
      </w:r>
      <w:r>
        <w:rPr>
          <w:rFonts w:hint="eastAsia" w:eastAsia="宋体"/>
          <w:sz w:val="24"/>
          <w:lang w:val="en-US" w:eastAsia="zh-CN"/>
        </w:rPr>
        <w:t>3</w:t>
      </w:r>
      <w:r>
        <w:rPr>
          <w:sz w:val="24"/>
        </w:rPr>
        <w:t>0</w:t>
      </w:r>
      <w:r>
        <w:rPr>
          <w:rFonts w:hint="eastAsia"/>
          <w:sz w:val="24"/>
        </w:rPr>
        <w:t>0万元；</w:t>
      </w:r>
    </w:p>
    <w:p>
      <w:pPr>
        <w:spacing w:line="520" w:lineRule="exact"/>
        <w:ind w:firstLine="480" w:firstLineChars="200"/>
        <w:rPr>
          <w:sz w:val="24"/>
        </w:rPr>
      </w:pPr>
      <w:r>
        <w:rPr>
          <w:sz w:val="24"/>
        </w:rPr>
        <w:t>4</w:t>
      </w:r>
      <w:r>
        <w:rPr>
          <w:rFonts w:hint="eastAsia"/>
          <w:sz w:val="24"/>
        </w:rPr>
        <w:t xml:space="preserve">. 本项目招标不接受投标方为联合体，软件实施不允许分包，为保障不会产生版权纠纷,投标方投标使用的产品必须为投标方自有平台的产品（提交软件著作权登记证书）； </w:t>
      </w:r>
      <w:r>
        <w:rPr>
          <w:sz w:val="24"/>
        </w:rPr>
        <w:t xml:space="preserve">                        </w:t>
      </w:r>
    </w:p>
    <w:p>
      <w:pPr>
        <w:spacing w:line="520" w:lineRule="exact"/>
        <w:ind w:firstLine="480" w:firstLineChars="200"/>
        <w:rPr>
          <w:sz w:val="24"/>
        </w:rPr>
      </w:pPr>
      <w:r>
        <w:rPr>
          <w:sz w:val="24"/>
        </w:rPr>
        <w:t>5</w:t>
      </w:r>
      <w:r>
        <w:rPr>
          <w:rFonts w:hint="eastAsia"/>
          <w:sz w:val="24"/>
        </w:rPr>
        <w:t>.其它要求：本次招标不接受代理商投标。</w:t>
      </w:r>
    </w:p>
    <w:p>
      <w:pPr>
        <w:spacing w:line="520" w:lineRule="exact"/>
        <w:ind w:firstLine="480" w:firstLineChars="200"/>
        <w:rPr>
          <w:sz w:val="24"/>
        </w:rPr>
      </w:pPr>
      <w:r>
        <w:rPr>
          <w:sz w:val="24"/>
        </w:rPr>
        <w:t>6</w:t>
      </w:r>
      <w:r>
        <w:rPr>
          <w:rFonts w:hint="eastAsia"/>
          <w:sz w:val="24"/>
        </w:rPr>
        <w:t>.投标方必须严格遵循以上各项要求，否则将取消投标资格。</w:t>
      </w:r>
    </w:p>
    <w:p>
      <w:pPr>
        <w:rPr>
          <w:rFonts w:ascii="宋体" w:hAnsi="宋体" w:cs="宋体"/>
          <w:b/>
          <w:kern w:val="0"/>
          <w:sz w:val="28"/>
          <w:szCs w:val="28"/>
        </w:rPr>
      </w:pPr>
      <w:r>
        <w:rPr>
          <w:rFonts w:hint="eastAsia" w:ascii="宋体" w:hAnsi="宋体" w:cs="宋体"/>
          <w:b/>
          <w:kern w:val="0"/>
          <w:sz w:val="28"/>
          <w:szCs w:val="28"/>
        </w:rPr>
        <w:t>二、招标内容</w:t>
      </w:r>
    </w:p>
    <w:p>
      <w:pPr>
        <w:spacing w:line="520" w:lineRule="exact"/>
        <w:ind w:firstLine="480" w:firstLineChars="200"/>
        <w:rPr>
          <w:sz w:val="24"/>
        </w:rPr>
      </w:pPr>
      <w:r>
        <w:rPr>
          <w:rFonts w:hint="eastAsia"/>
          <w:sz w:val="24"/>
        </w:rPr>
        <w:t>标的：</w:t>
      </w:r>
      <w:r>
        <w:rPr>
          <w:sz w:val="24"/>
        </w:rPr>
        <w:t>PLM</w:t>
      </w:r>
      <w:r>
        <w:rPr>
          <w:rFonts w:hint="eastAsia"/>
          <w:sz w:val="24"/>
        </w:rPr>
        <w:t>系统。</w:t>
      </w:r>
    </w:p>
    <w:p>
      <w:pPr>
        <w:spacing w:line="520" w:lineRule="exact"/>
        <w:ind w:firstLine="480" w:firstLineChars="200"/>
        <w:rPr>
          <w:sz w:val="24"/>
        </w:rPr>
      </w:pPr>
      <w:r>
        <w:rPr>
          <w:rFonts w:hint="eastAsia"/>
          <w:sz w:val="24"/>
        </w:rPr>
        <w:t>主要技术要求见“三、项目需求及技术规格”。</w:t>
      </w:r>
    </w:p>
    <w:p>
      <w:pPr>
        <w:spacing w:line="520" w:lineRule="exact"/>
        <w:ind w:firstLine="480" w:firstLineChars="200"/>
        <w:rPr>
          <w:sz w:val="24"/>
        </w:rPr>
      </w:pPr>
      <w:r>
        <w:rPr>
          <w:rFonts w:hint="eastAsia"/>
          <w:sz w:val="24"/>
        </w:rPr>
        <w:t>投标限价</w:t>
      </w:r>
      <w:r>
        <w:rPr>
          <w:rFonts w:hint="eastAsia" w:asciiTheme="minorEastAsia" w:hAnsiTheme="minorEastAsia" w:eastAsiaTheme="minorEastAsia"/>
          <w:sz w:val="24"/>
        </w:rPr>
        <w:t>：</w:t>
      </w:r>
      <w:r>
        <w:rPr>
          <w:rFonts w:hint="eastAsia" w:eastAsiaTheme="minorEastAsia"/>
          <w:sz w:val="24"/>
        </w:rPr>
        <w:t>5</w:t>
      </w:r>
      <w:r>
        <w:rPr>
          <w:rFonts w:eastAsiaTheme="minorEastAsia"/>
          <w:sz w:val="24"/>
        </w:rPr>
        <w:t>0</w:t>
      </w:r>
      <w:r>
        <w:rPr>
          <w:rFonts w:hint="eastAsia"/>
          <w:sz w:val="24"/>
        </w:rPr>
        <w:t>万元。</w:t>
      </w:r>
    </w:p>
    <w:p>
      <w:pPr>
        <w:spacing w:line="520" w:lineRule="exact"/>
        <w:ind w:firstLine="480" w:firstLineChars="200"/>
        <w:rPr>
          <w:sz w:val="24"/>
        </w:rPr>
      </w:pPr>
      <w:r>
        <w:rPr>
          <w:rFonts w:hint="eastAsia"/>
          <w:sz w:val="24"/>
        </w:rPr>
        <w:t>交付地点：重庆汽车标准件厂有限责任公司（</w:t>
      </w:r>
      <w:r>
        <w:rPr>
          <w:rFonts w:hint="eastAsia" w:ascii="宋体" w:hAnsi="宋体" w:eastAsia="宋体" w:cs="宋体"/>
          <w:bCs/>
          <w:sz w:val="24"/>
        </w:rPr>
        <w:t>重庆市江津区珞璜镇中兴四路5号</w:t>
      </w:r>
      <w:r>
        <w:rPr>
          <w:rFonts w:hint="eastAsia"/>
          <w:sz w:val="24"/>
        </w:rPr>
        <w:t>）用户使用现场。</w:t>
      </w:r>
    </w:p>
    <w:p>
      <w:pPr>
        <w:spacing w:line="520" w:lineRule="exact"/>
        <w:ind w:firstLine="480" w:firstLineChars="200"/>
        <w:rPr>
          <w:sz w:val="24"/>
        </w:rPr>
      </w:pPr>
      <w:r>
        <w:rPr>
          <w:rFonts w:hint="eastAsia"/>
          <w:sz w:val="24"/>
        </w:rPr>
        <w:t>交付时间：2024年</w:t>
      </w:r>
      <w:r>
        <w:rPr>
          <w:rFonts w:hint="eastAsia" w:eastAsia="宋体"/>
          <w:sz w:val="24"/>
          <w:lang w:val="en-US" w:eastAsia="zh-CN"/>
        </w:rPr>
        <w:t>6</w:t>
      </w:r>
      <w:r>
        <w:rPr>
          <w:rFonts w:hint="eastAsia"/>
          <w:sz w:val="24"/>
        </w:rPr>
        <w:t>月</w:t>
      </w:r>
      <w:r>
        <w:rPr>
          <w:rFonts w:hint="eastAsia" w:eastAsia="宋体"/>
          <w:sz w:val="24"/>
          <w:lang w:val="en-US" w:eastAsia="zh-CN"/>
        </w:rPr>
        <w:t>30</w:t>
      </w:r>
      <w:r>
        <w:rPr>
          <w:rFonts w:hint="eastAsia"/>
          <w:sz w:val="24"/>
        </w:rPr>
        <w:t>日前正常运行。</w:t>
      </w:r>
    </w:p>
    <w:p>
      <w:pPr>
        <w:rPr>
          <w:rFonts w:ascii="宋体" w:hAnsi="宋体" w:cs="宋体"/>
          <w:b/>
          <w:kern w:val="0"/>
          <w:sz w:val="28"/>
          <w:szCs w:val="28"/>
        </w:rPr>
      </w:pPr>
      <w:r>
        <w:rPr>
          <w:rFonts w:hint="eastAsia" w:ascii="宋体" w:hAnsi="宋体" w:cs="宋体"/>
          <w:b/>
          <w:kern w:val="0"/>
          <w:sz w:val="28"/>
          <w:szCs w:val="28"/>
        </w:rPr>
        <w:t>三、项目需求及技术规格</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（一）实施目标</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本次</w:t>
      </w:r>
      <w:r>
        <w:rPr>
          <w:rFonts w:cs="宋体" w:asciiTheme="minorEastAsia" w:hAnsiTheme="minorEastAsia" w:eastAsiaTheme="minorEastAsia"/>
          <w:bCs/>
          <w:sz w:val="24"/>
        </w:rPr>
        <w:t>PLM</w:t>
      </w:r>
      <w:r>
        <w:rPr>
          <w:rFonts w:hint="eastAsia" w:cs="宋体" w:asciiTheme="minorEastAsia" w:hAnsiTheme="minorEastAsia" w:eastAsiaTheme="minorEastAsia"/>
          <w:bCs/>
          <w:sz w:val="24"/>
        </w:rPr>
        <w:t>系统的实施，通过创建以产品为中心的集成协同环境，实现研发数据、项目管理、工艺管理的可视化，加强知识管理，提升标准化，达到降低研发工艺成本、提高质量、提高效率等目标：</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cs="宋体" w:asciiTheme="minorEastAsia" w:hAnsiTheme="minorEastAsia" w:eastAsiaTheme="minorEastAsia"/>
          <w:bCs/>
          <w:sz w:val="24"/>
        </w:rPr>
        <w:t>1</w:t>
      </w:r>
      <w:r>
        <w:rPr>
          <w:rFonts w:hint="eastAsia" w:cs="宋体" w:asciiTheme="minorEastAsia" w:hAnsiTheme="minorEastAsia" w:eastAsiaTheme="minorEastAsia"/>
          <w:bCs/>
          <w:sz w:val="24"/>
        </w:rPr>
        <w:t>）一体化管理平台</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建立集项目、产品设计、工艺设计、变更等业务的一体化管理平台，管理产品设计的全生命周期，实现研发设计、工艺设计过程的数据共享，支持产品研发、工艺协同设计，有效缩短产品研发周期。</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cs="宋体" w:asciiTheme="minorEastAsia" w:hAnsiTheme="minorEastAsia" w:eastAsiaTheme="minorEastAsia"/>
          <w:bCs/>
          <w:sz w:val="24"/>
        </w:rPr>
        <w:t>2</w:t>
      </w:r>
      <w:r>
        <w:rPr>
          <w:rFonts w:hint="eastAsia" w:cs="宋体" w:asciiTheme="minorEastAsia" w:hAnsiTheme="minorEastAsia" w:eastAsiaTheme="minorEastAsia"/>
          <w:bCs/>
          <w:sz w:val="24"/>
        </w:rPr>
        <w:t>）工作流管理</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实现工作流程的数字化，使围绕产品资料的各种流程更加规范化和可视化，提高产品设计效率。</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建立严格的变更管理体系，实现完整严谨的变更流程管控，包括问题报告、变更请求、变更通告等处理流程，实现变更的闭环管理。</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cs="宋体" w:asciiTheme="minorEastAsia" w:hAnsiTheme="minorEastAsia" w:eastAsiaTheme="minorEastAsia"/>
          <w:bCs/>
          <w:sz w:val="24"/>
        </w:rPr>
        <w:t>3</w:t>
      </w:r>
      <w:r>
        <w:rPr>
          <w:rFonts w:hint="eastAsia" w:cs="宋体" w:asciiTheme="minorEastAsia" w:hAnsiTheme="minorEastAsia" w:eastAsiaTheme="minorEastAsia"/>
          <w:bCs/>
          <w:sz w:val="24"/>
        </w:rPr>
        <w:t>）知识管理</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建立统一的企业公共资源管理平台，对各种标准文件、体系规范、制度、质量资料、售后服务资料、共享资源等进行统一管理，保证数据共享，并且能够对这些数据进行分类定义，按照分类进行权限控制。</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cs="宋体" w:asciiTheme="minorEastAsia" w:hAnsiTheme="minorEastAsia" w:eastAsiaTheme="minorEastAsia"/>
          <w:bCs/>
          <w:sz w:val="24"/>
        </w:rPr>
        <w:t>4</w:t>
      </w:r>
      <w:r>
        <w:rPr>
          <w:rFonts w:hint="eastAsia" w:cs="宋体" w:asciiTheme="minorEastAsia" w:hAnsiTheme="minorEastAsia" w:eastAsiaTheme="minorEastAsia"/>
          <w:bCs/>
          <w:sz w:val="24"/>
        </w:rPr>
        <w:t>）体系文件管理支持</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实现体系文件编制的过程管控，保证数据的正确性和规范性，减少重复工作。</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cs="宋体" w:asciiTheme="minorEastAsia" w:hAnsiTheme="minorEastAsia" w:eastAsiaTheme="minorEastAsia"/>
          <w:bCs/>
          <w:sz w:val="24"/>
        </w:rPr>
        <w:t>5</w:t>
      </w:r>
      <w:r>
        <w:rPr>
          <w:rFonts w:hint="eastAsia" w:cs="宋体" w:asciiTheme="minorEastAsia" w:hAnsiTheme="minorEastAsia" w:eastAsiaTheme="minorEastAsia"/>
          <w:bCs/>
          <w:sz w:val="24"/>
        </w:rPr>
        <w:t>）安全管控</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对服务器文档仓库中的文档应有加密，以防文档外泄。</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提供多维权限管理机制、灵活的授权方式，能够方便定义管理权限的粗细程度。</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w:t>
      </w:r>
      <w:r>
        <w:rPr>
          <w:rFonts w:cs="宋体" w:asciiTheme="minorEastAsia" w:hAnsiTheme="minorEastAsia" w:eastAsiaTheme="minorEastAsia"/>
          <w:bCs/>
          <w:sz w:val="24"/>
        </w:rPr>
        <w:t>6</w:t>
      </w:r>
      <w:r>
        <w:rPr>
          <w:rFonts w:hint="eastAsia" w:cs="宋体" w:asciiTheme="minorEastAsia" w:hAnsiTheme="minorEastAsia" w:eastAsiaTheme="minorEastAsia"/>
          <w:bCs/>
          <w:sz w:val="24"/>
        </w:rPr>
        <w:t>）配置灵活</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提供专门的系统配置工具来实现企业业务逻辑的定义，包括账户、对象、安全策略、生命周期、工作流、系统集成、视图等。</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能够管理产品零部件的类别、零部件及图文档属性、流程及更改模板、查询方式、所管理图文档的种类等等。</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系统平台具备丰富的业务建模及扩展能力，企业可在此平台上进行业务和管理模式的扩展、配置。</w:t>
      </w:r>
    </w:p>
    <w:p>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能够自定义查询和统计模板，根据模板展示查询统计结果。统计结果可以列表、图示的方式进行可视化展示。</w:t>
      </w:r>
    </w:p>
    <w:p>
      <w:pPr>
        <w:widowControl/>
        <w:tabs>
          <w:tab w:val="left" w:pos="540"/>
        </w:tabs>
        <w:spacing w:line="360" w:lineRule="auto"/>
        <w:ind w:firstLine="480" w:firstLineChars="200"/>
        <w:jc w:val="left"/>
        <w:rPr>
          <w:rFonts w:asciiTheme="minorEastAsia" w:hAnsiTheme="minorEastAsia" w:eastAsiaTheme="minorEastAsia"/>
          <w:bCs/>
          <w:sz w:val="24"/>
        </w:rPr>
      </w:pPr>
      <w:r>
        <w:rPr>
          <w:rFonts w:hint="eastAsia" w:asciiTheme="minorEastAsia" w:hAnsiTheme="minorEastAsia" w:eastAsiaTheme="minorEastAsia"/>
          <w:bCs/>
          <w:sz w:val="24"/>
        </w:rPr>
        <w:t xml:space="preserve">（二）项目需求 </w:t>
      </w:r>
    </w:p>
    <w:p>
      <w:pPr>
        <w:tabs>
          <w:tab w:val="left" w:pos="646"/>
        </w:tabs>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1、系统建设需求</w:t>
      </w:r>
    </w:p>
    <w:p>
      <w:pPr>
        <w:widowControl/>
        <w:tabs>
          <w:tab w:val="left" w:pos="54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本次招标建设的</w:t>
      </w:r>
      <w:r>
        <w:rPr>
          <w:rFonts w:asciiTheme="minorEastAsia" w:hAnsiTheme="minorEastAsia" w:eastAsiaTheme="minorEastAsia"/>
          <w:sz w:val="24"/>
        </w:rPr>
        <w:t>PLM</w:t>
      </w:r>
      <w:r>
        <w:rPr>
          <w:rFonts w:hint="eastAsia" w:asciiTheme="minorEastAsia" w:hAnsiTheme="minorEastAsia" w:eastAsiaTheme="minorEastAsia"/>
          <w:sz w:val="24"/>
        </w:rPr>
        <w:t>系统需具备但不限于</w:t>
      </w:r>
      <w:r>
        <w:rPr>
          <w:rFonts w:hint="eastAsia" w:cs="宋体" w:asciiTheme="minorEastAsia" w:hAnsiTheme="minorEastAsia" w:eastAsiaTheme="minorEastAsia"/>
          <w:sz w:val="24"/>
        </w:rPr>
        <w:t>图文档管理、工作流程管理、变更管理、编码管理、项目管理、工艺过程开发管理、工艺</w:t>
      </w:r>
      <w:r>
        <w:rPr>
          <w:rFonts w:asciiTheme="minorEastAsia" w:hAnsiTheme="minorEastAsia" w:eastAsiaTheme="minorEastAsia"/>
          <w:sz w:val="24"/>
        </w:rPr>
        <w:t>BOM</w:t>
      </w:r>
      <w:r>
        <w:rPr>
          <w:rFonts w:hint="eastAsia" w:cs="宋体" w:asciiTheme="minorEastAsia" w:hAnsiTheme="minorEastAsia" w:eastAsiaTheme="minorEastAsia"/>
          <w:sz w:val="24"/>
        </w:rPr>
        <w:t>管理、工艺资源管理、工艺卡片模板定制、工艺卡片编制、查询和报表统计汇总、用户权限和安全管理、E</w:t>
      </w:r>
      <w:r>
        <w:rPr>
          <w:rFonts w:cs="宋体" w:asciiTheme="minorEastAsia" w:hAnsiTheme="minorEastAsia" w:eastAsiaTheme="minorEastAsia"/>
          <w:sz w:val="24"/>
        </w:rPr>
        <w:t>RP</w:t>
      </w:r>
      <w:r>
        <w:rPr>
          <w:rFonts w:hint="eastAsia" w:cs="宋体" w:asciiTheme="minorEastAsia" w:hAnsiTheme="minorEastAsia" w:eastAsiaTheme="minorEastAsia"/>
          <w:sz w:val="24"/>
        </w:rPr>
        <w:t>集成、C</w:t>
      </w:r>
      <w:r>
        <w:rPr>
          <w:rFonts w:cs="宋体" w:asciiTheme="minorEastAsia" w:hAnsiTheme="minorEastAsia" w:eastAsiaTheme="minorEastAsia"/>
          <w:sz w:val="24"/>
        </w:rPr>
        <w:t>AD</w:t>
      </w:r>
      <w:r>
        <w:rPr>
          <w:rFonts w:hint="eastAsia" w:cs="宋体" w:asciiTheme="minorEastAsia" w:hAnsiTheme="minorEastAsia" w:eastAsiaTheme="minorEastAsia"/>
          <w:sz w:val="24"/>
        </w:rPr>
        <w:t>集成、M</w:t>
      </w:r>
      <w:r>
        <w:rPr>
          <w:rFonts w:cs="宋体" w:asciiTheme="minorEastAsia" w:hAnsiTheme="minorEastAsia" w:eastAsiaTheme="minorEastAsia"/>
          <w:sz w:val="24"/>
        </w:rPr>
        <w:t>ES</w:t>
      </w:r>
      <w:r>
        <w:rPr>
          <w:rFonts w:hint="eastAsia" w:cs="宋体" w:asciiTheme="minorEastAsia" w:hAnsiTheme="minorEastAsia" w:eastAsiaTheme="minorEastAsia"/>
          <w:sz w:val="24"/>
        </w:rPr>
        <w:t>集成等</w:t>
      </w:r>
      <w:r>
        <w:rPr>
          <w:rFonts w:hint="eastAsia" w:asciiTheme="minorEastAsia" w:hAnsiTheme="minorEastAsia" w:eastAsiaTheme="minorEastAsia"/>
          <w:sz w:val="24"/>
        </w:rPr>
        <w:t>。项目还包含基础知识培训，对相关人员培训系统操作，系统上线辅导等。</w:t>
      </w:r>
    </w:p>
    <w:p>
      <w:pPr>
        <w:widowControl/>
        <w:tabs>
          <w:tab w:val="left" w:pos="540"/>
        </w:tabs>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项目交付的系统需要具备灵活的业务拓展能力；开放的集成接口文档能力，能便捷的与第三方系统顺利集成等。</w:t>
      </w:r>
    </w:p>
    <w:p>
      <w:pPr>
        <w:tabs>
          <w:tab w:val="left" w:pos="646"/>
        </w:tabs>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 xml:space="preserve">2、硬件需求清单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816"/>
        <w:gridCol w:w="767"/>
        <w:gridCol w:w="794"/>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55"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1816"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分项名称</w:t>
            </w:r>
          </w:p>
        </w:tc>
        <w:tc>
          <w:tcPr>
            <w:tcW w:w="767"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数量</w:t>
            </w:r>
          </w:p>
        </w:tc>
        <w:tc>
          <w:tcPr>
            <w:tcW w:w="794"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w:t>
            </w:r>
          </w:p>
        </w:tc>
        <w:tc>
          <w:tcPr>
            <w:tcW w:w="4104" w:type="dxa"/>
            <w:vAlign w:val="center"/>
          </w:tcPr>
          <w:p>
            <w:pPr>
              <w:widowControl/>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755" w:type="dxa"/>
            <w:vAlign w:val="center"/>
          </w:tcPr>
          <w:p>
            <w:pPr>
              <w:widowControl/>
              <w:jc w:val="center"/>
              <w:rPr>
                <w:rFonts w:cs="宋体" w:asciiTheme="minorEastAsia" w:hAnsiTheme="minorEastAsia" w:eastAsiaTheme="minorEastAsia"/>
                <w:kern w:val="0"/>
                <w:sz w:val="24"/>
              </w:rPr>
            </w:pPr>
            <w:r>
              <w:rPr>
                <w:rFonts w:hint="eastAsia" w:asciiTheme="minorEastAsia" w:hAnsiTheme="minorEastAsia" w:eastAsiaTheme="minorEastAsia"/>
                <w:sz w:val="24"/>
              </w:rPr>
              <w:t>1</w:t>
            </w:r>
          </w:p>
        </w:tc>
        <w:tc>
          <w:tcPr>
            <w:tcW w:w="1816" w:type="dxa"/>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显示配套</w:t>
            </w:r>
          </w:p>
          <w:p>
            <w:pPr>
              <w:widowControl/>
              <w:jc w:val="center"/>
              <w:rPr>
                <w:rFonts w:asciiTheme="minorEastAsia" w:hAnsiTheme="minorEastAsia" w:eastAsiaTheme="minorEastAsia"/>
                <w:sz w:val="24"/>
              </w:rPr>
            </w:pPr>
            <w:r>
              <w:rPr>
                <w:rFonts w:hint="eastAsia" w:asciiTheme="minorEastAsia" w:hAnsiTheme="minorEastAsia" w:eastAsiaTheme="minorEastAsia"/>
                <w:sz w:val="24"/>
              </w:rPr>
              <w:t>计算机</w:t>
            </w:r>
          </w:p>
        </w:tc>
        <w:tc>
          <w:tcPr>
            <w:tcW w:w="767" w:type="dxa"/>
            <w:vAlign w:val="center"/>
          </w:tcPr>
          <w:p>
            <w:pPr>
              <w:widowControl/>
              <w:jc w:val="center"/>
              <w:rPr>
                <w:rFonts w:asciiTheme="minorEastAsia" w:hAnsiTheme="minorEastAsia" w:eastAsiaTheme="minorEastAsia"/>
                <w:sz w:val="24"/>
              </w:rPr>
            </w:pPr>
            <w:r>
              <w:rPr>
                <w:rFonts w:asciiTheme="minorEastAsia" w:hAnsiTheme="minorEastAsia" w:eastAsiaTheme="minorEastAsia"/>
                <w:sz w:val="24"/>
              </w:rPr>
              <w:t>5</w:t>
            </w:r>
          </w:p>
        </w:tc>
        <w:tc>
          <w:tcPr>
            <w:tcW w:w="794" w:type="dxa"/>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台套</w:t>
            </w:r>
          </w:p>
        </w:tc>
        <w:tc>
          <w:tcPr>
            <w:tcW w:w="4104" w:type="dxa"/>
            <w:vAlign w:val="center"/>
          </w:tcPr>
          <w:p>
            <w:pPr>
              <w:widowControl/>
              <w:jc w:val="left"/>
              <w:rPr>
                <w:rFonts w:cs="宋体" w:asciiTheme="minorEastAsia" w:hAnsiTheme="minorEastAsia" w:eastAsiaTheme="minorEastAsia"/>
                <w:kern w:val="0"/>
                <w:sz w:val="24"/>
              </w:rPr>
            </w:pPr>
            <w:r>
              <w:rPr>
                <w:rFonts w:hint="eastAsia" w:asciiTheme="minorEastAsia" w:hAnsiTheme="minorEastAsia" w:eastAsiaTheme="minorEastAsia"/>
                <w:sz w:val="24"/>
              </w:rPr>
              <w:t>要求能够流畅打开和处理Excel、Word文件；流畅运行chrome、Ed</w:t>
            </w:r>
            <w:r>
              <w:rPr>
                <w:rFonts w:asciiTheme="minorEastAsia" w:hAnsiTheme="minorEastAsia" w:eastAsiaTheme="minorEastAsia"/>
                <w:sz w:val="24"/>
              </w:rPr>
              <w:t>ge</w:t>
            </w:r>
            <w:r>
              <w:rPr>
                <w:rFonts w:hint="eastAsia" w:asciiTheme="minorEastAsia" w:hAnsiTheme="minorEastAsia" w:eastAsiaTheme="minorEastAsia"/>
                <w:sz w:val="24"/>
              </w:rPr>
              <w:t>等主流浏览器。显示器分辨率不低于1</w:t>
            </w:r>
            <w:r>
              <w:rPr>
                <w:rFonts w:asciiTheme="minorEastAsia" w:hAnsiTheme="minorEastAsia" w:eastAsiaTheme="minorEastAsia"/>
                <w:sz w:val="24"/>
              </w:rPr>
              <w:t>080P</w:t>
            </w:r>
            <w:r>
              <w:rPr>
                <w:rFonts w:hint="eastAsia" w:asciiTheme="minorEastAsia" w:hAnsiTheme="minorEastAsia" w:eastAsiaTheme="minorEastAsia"/>
                <w:sz w:val="24"/>
              </w:rPr>
              <w:t>，显示器尺寸不低于2</w:t>
            </w:r>
            <w:r>
              <w:rPr>
                <w:rFonts w:asciiTheme="minorEastAsia" w:hAnsiTheme="minorEastAsia" w:eastAsiaTheme="minorEastAsia"/>
                <w:sz w:val="24"/>
              </w:rPr>
              <w:t>2</w:t>
            </w:r>
            <w:r>
              <w:rPr>
                <w:rFonts w:hint="eastAsia" w:asciiTheme="minorEastAsia" w:hAnsiTheme="minorEastAsia" w:eastAsiaTheme="minorEastAsia"/>
                <w:sz w:val="24"/>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755" w:type="dxa"/>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816" w:type="dxa"/>
            <w:vAlign w:val="center"/>
          </w:tcPr>
          <w:p>
            <w:pPr>
              <w:widowControl/>
              <w:jc w:val="center"/>
              <w:rPr>
                <w:rFonts w:hint="eastAsia" w:asciiTheme="minorEastAsia" w:hAnsiTheme="minorEastAsia" w:eastAsiaTheme="minorEastAsia"/>
                <w:sz w:val="24"/>
              </w:rPr>
            </w:pPr>
            <w:r>
              <w:rPr>
                <w:rFonts w:hint="eastAsia" w:asciiTheme="minorEastAsia" w:hAnsiTheme="minorEastAsia" w:eastAsiaTheme="minorEastAsia"/>
                <w:sz w:val="24"/>
              </w:rPr>
              <w:t>系统本地</w:t>
            </w:r>
          </w:p>
          <w:p>
            <w:pPr>
              <w:widowControl/>
              <w:jc w:val="center"/>
              <w:rPr>
                <w:rFonts w:asciiTheme="minorEastAsia" w:hAnsiTheme="minorEastAsia" w:eastAsiaTheme="minorEastAsia"/>
                <w:sz w:val="24"/>
              </w:rPr>
            </w:pPr>
            <w:r>
              <w:rPr>
                <w:rFonts w:hint="eastAsia" w:asciiTheme="minorEastAsia" w:hAnsiTheme="minorEastAsia" w:eastAsiaTheme="minorEastAsia"/>
                <w:sz w:val="24"/>
              </w:rPr>
              <w:t>服务器</w:t>
            </w:r>
          </w:p>
        </w:tc>
        <w:tc>
          <w:tcPr>
            <w:tcW w:w="767" w:type="dxa"/>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794" w:type="dxa"/>
            <w:vAlign w:val="center"/>
          </w:tcPr>
          <w:p>
            <w:pPr>
              <w:widowControl/>
              <w:jc w:val="center"/>
              <w:rPr>
                <w:rFonts w:asciiTheme="minorEastAsia" w:hAnsiTheme="minorEastAsia" w:eastAsiaTheme="minorEastAsia"/>
                <w:sz w:val="24"/>
              </w:rPr>
            </w:pPr>
            <w:r>
              <w:rPr>
                <w:rFonts w:hint="eastAsia" w:asciiTheme="minorEastAsia" w:hAnsiTheme="minorEastAsia" w:eastAsiaTheme="minorEastAsia"/>
                <w:sz w:val="24"/>
              </w:rPr>
              <w:t>台套</w:t>
            </w:r>
          </w:p>
        </w:tc>
        <w:tc>
          <w:tcPr>
            <w:tcW w:w="4104" w:type="dxa"/>
            <w:vAlign w:val="center"/>
          </w:tcPr>
          <w:p>
            <w:pPr>
              <w:keepNext w:val="0"/>
              <w:keepLines w:val="0"/>
              <w:pageBreakBefore w:val="0"/>
              <w:kinsoku/>
              <w:wordWrap/>
              <w:overflowPunct/>
              <w:topLinePunct w:val="0"/>
              <w:autoSpaceDE/>
              <w:autoSpaceDN/>
              <w:bidi w:val="0"/>
              <w:adjustRightInd/>
              <w:snapToGrid/>
              <w:spacing w:line="360" w:lineRule="auto"/>
              <w:jc w:val="both"/>
              <w:textAlignment w:val="auto"/>
              <w:rPr>
                <w:rFonts w:asciiTheme="minorEastAsia" w:hAnsiTheme="minorEastAsia" w:eastAsiaTheme="minorEastAsia"/>
                <w:sz w:val="24"/>
              </w:rPr>
            </w:pPr>
            <w:r>
              <w:rPr>
                <w:rFonts w:asciiTheme="minorEastAsia" w:hAnsiTheme="minorEastAsia" w:eastAsiaTheme="minorEastAsia"/>
                <w:sz w:val="24"/>
              </w:rPr>
              <w:t>CPU:</w:t>
            </w:r>
            <w:r>
              <w:rPr>
                <w:rFonts w:hint="eastAsia" w:cs="宋体" w:asciiTheme="minorEastAsia" w:hAnsiTheme="minorEastAsia" w:eastAsiaTheme="minorEastAsia"/>
                <w:sz w:val="24"/>
              </w:rPr>
              <w:t>不低于</w:t>
            </w:r>
            <w:r>
              <w:rPr>
                <w:rFonts w:asciiTheme="minorEastAsia" w:hAnsiTheme="minorEastAsia" w:eastAsiaTheme="minorEastAsia"/>
                <w:sz w:val="24"/>
              </w:rPr>
              <w:t>16</w:t>
            </w:r>
            <w:r>
              <w:rPr>
                <w:rFonts w:hint="eastAsia" w:cs="宋体" w:asciiTheme="minorEastAsia" w:hAnsiTheme="minorEastAsia" w:eastAsiaTheme="minorEastAsia"/>
                <w:sz w:val="24"/>
              </w:rPr>
              <w:t>核</w:t>
            </w:r>
            <w:r>
              <w:rPr>
                <w:rFonts w:asciiTheme="minorEastAsia" w:hAnsiTheme="minorEastAsia" w:eastAsiaTheme="minorEastAsia"/>
                <w:sz w:val="24"/>
              </w:rPr>
              <w:t>32</w:t>
            </w:r>
            <w:r>
              <w:rPr>
                <w:rFonts w:hint="eastAsia" w:cs="宋体" w:asciiTheme="minorEastAsia" w:hAnsiTheme="minorEastAsia" w:eastAsiaTheme="minorEastAsia"/>
                <w:sz w:val="24"/>
              </w:rPr>
              <w:t>线程，主频不低于</w:t>
            </w:r>
            <w:r>
              <w:rPr>
                <w:rFonts w:asciiTheme="minorEastAsia" w:hAnsiTheme="minorEastAsia" w:eastAsiaTheme="minorEastAsia"/>
                <w:sz w:val="24"/>
              </w:rPr>
              <w:t>2.4</w:t>
            </w:r>
            <w:r>
              <w:rPr>
                <w:rFonts w:hint="eastAsia" w:cs="宋体" w:asciiTheme="minorEastAsia" w:hAnsiTheme="minorEastAsia" w:eastAsiaTheme="minorEastAsia"/>
                <w:sz w:val="24"/>
              </w:rPr>
              <w:t>，</w:t>
            </w:r>
            <w:r>
              <w:rPr>
                <w:rFonts w:hint="eastAsia" w:asciiTheme="minorEastAsia" w:hAnsiTheme="minorEastAsia" w:eastAsiaTheme="minorEastAsia"/>
                <w:sz w:val="24"/>
                <w:lang w:val="en-US" w:eastAsia="zh-CN"/>
              </w:rPr>
              <w:t>128</w:t>
            </w:r>
            <w:r>
              <w:rPr>
                <w:rFonts w:asciiTheme="minorEastAsia" w:hAnsiTheme="minorEastAsia" w:eastAsiaTheme="minorEastAsia"/>
                <w:sz w:val="24"/>
              </w:rPr>
              <w:t>GB</w:t>
            </w:r>
            <w:r>
              <w:rPr>
                <w:rFonts w:hint="eastAsia" w:cs="宋体" w:asciiTheme="minorEastAsia" w:hAnsiTheme="minorEastAsia" w:eastAsiaTheme="minorEastAsia"/>
                <w:sz w:val="24"/>
              </w:rPr>
              <w:t>以上，</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Theme="minorEastAsia" w:hAnsiTheme="minorEastAsia" w:eastAsiaTheme="minorEastAsia"/>
                <w:sz w:val="24"/>
              </w:rPr>
            </w:pPr>
            <w:r>
              <w:rPr>
                <w:rFonts w:hint="eastAsia" w:cs="宋体" w:asciiTheme="minorEastAsia" w:hAnsiTheme="minorEastAsia" w:eastAsiaTheme="minorEastAsia"/>
                <w:sz w:val="24"/>
              </w:rPr>
              <w:t>系统：</w:t>
            </w:r>
            <w:r>
              <w:rPr>
                <w:rFonts w:asciiTheme="minorEastAsia" w:hAnsiTheme="minorEastAsia" w:eastAsiaTheme="minorEastAsia"/>
                <w:sz w:val="24"/>
              </w:rPr>
              <w:t>microsoft</w:t>
            </w:r>
            <w:r>
              <w:rPr>
                <w:rFonts w:hint="eastAsia" w:asciiTheme="minorEastAsia" w:hAnsiTheme="minorEastAsia" w:eastAsiaTheme="minorEastAsia"/>
                <w:sz w:val="24"/>
              </w:rPr>
              <w:t xml:space="preserve"> </w:t>
            </w:r>
            <w:r>
              <w:rPr>
                <w:rFonts w:asciiTheme="minorEastAsia" w:hAnsiTheme="minorEastAsia" w:eastAsiaTheme="minorEastAsia"/>
                <w:sz w:val="24"/>
              </w:rPr>
              <w:t>windows</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2016 standard </w:t>
            </w:r>
            <w:r>
              <w:rPr>
                <w:rFonts w:hint="eastAsia" w:cs="宋体" w:asciiTheme="minorEastAsia" w:hAnsiTheme="minorEastAsia" w:eastAsiaTheme="minorEastAsia"/>
                <w:sz w:val="24"/>
              </w:rPr>
              <w:t>以上，</w:t>
            </w:r>
          </w:p>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硬盘：</w:t>
            </w:r>
            <w:r>
              <w:rPr>
                <w:rFonts w:asciiTheme="minorEastAsia" w:hAnsiTheme="minorEastAsia" w:eastAsiaTheme="minorEastAsia"/>
                <w:sz w:val="24"/>
              </w:rPr>
              <w:t>1</w:t>
            </w:r>
            <w:r>
              <w:rPr>
                <w:rFonts w:hint="eastAsia" w:cs="宋体" w:asciiTheme="minorEastAsia" w:hAnsiTheme="minorEastAsia" w:eastAsiaTheme="minorEastAsia"/>
                <w:sz w:val="24"/>
              </w:rPr>
              <w:t>块及以上</w:t>
            </w:r>
            <w:r>
              <w:rPr>
                <w:rFonts w:asciiTheme="minorEastAsia" w:hAnsiTheme="minorEastAsia" w:eastAsiaTheme="minorEastAsia"/>
                <w:sz w:val="24"/>
              </w:rPr>
              <w:t>2TSSD(</w:t>
            </w:r>
            <w:r>
              <w:rPr>
                <w:rFonts w:hint="eastAsia" w:cs="宋体" w:asciiTheme="minorEastAsia" w:hAnsiTheme="minorEastAsia" w:eastAsiaTheme="minorEastAsia"/>
                <w:sz w:val="24"/>
              </w:rPr>
              <w:t>配置</w:t>
            </w:r>
            <w:r>
              <w:rPr>
                <w:rFonts w:asciiTheme="minorEastAsia" w:hAnsiTheme="minorEastAsia" w:eastAsiaTheme="minorEastAsia"/>
                <w:sz w:val="24"/>
              </w:rPr>
              <w:t>RAID5 12Gbps SAS)</w:t>
            </w:r>
            <w:r>
              <w:rPr>
                <w:rFonts w:hint="eastAsia" w:cs="宋体" w:asciiTheme="minorEastAsia" w:hAnsiTheme="minorEastAsia" w:eastAsiaTheme="minorEastAsia"/>
                <w:sz w:val="24"/>
              </w:rPr>
              <w:t>，</w:t>
            </w:r>
          </w:p>
          <w:p>
            <w:pPr>
              <w:keepNext w:val="0"/>
              <w:keepLines w:val="0"/>
              <w:pageBreakBefore w:val="0"/>
              <w:widowControl/>
              <w:kinsoku/>
              <w:wordWrap/>
              <w:overflowPunct/>
              <w:topLinePunct w:val="0"/>
              <w:autoSpaceDE/>
              <w:autoSpaceDN/>
              <w:bidi w:val="0"/>
              <w:adjustRightInd/>
              <w:snapToGrid/>
              <w:jc w:val="both"/>
              <w:textAlignment w:val="auto"/>
              <w:rPr>
                <w:rFonts w:cs="宋体" w:asciiTheme="minorEastAsia" w:hAnsiTheme="minorEastAsia" w:eastAsiaTheme="minorEastAsia"/>
                <w:sz w:val="24"/>
              </w:rPr>
            </w:pPr>
            <w:r>
              <w:rPr>
                <w:rFonts w:hint="eastAsia" w:cs="宋体" w:asciiTheme="minorEastAsia" w:hAnsiTheme="minorEastAsia" w:eastAsiaTheme="minorEastAsia"/>
                <w:sz w:val="24"/>
              </w:rPr>
              <w:t>千兆网络</w:t>
            </w:r>
          </w:p>
          <w:p>
            <w:pPr>
              <w:keepNext w:val="0"/>
              <w:keepLines w:val="0"/>
              <w:pageBreakBefore w:val="0"/>
              <w:widowControl/>
              <w:kinsoku/>
              <w:wordWrap/>
              <w:overflowPunct/>
              <w:topLinePunct w:val="0"/>
              <w:autoSpaceDE/>
              <w:autoSpaceDN/>
              <w:bidi w:val="0"/>
              <w:adjustRightInd/>
              <w:snapToGrid/>
              <w:jc w:val="both"/>
              <w:textAlignment w:val="auto"/>
              <w:rPr>
                <w:rFonts w:asciiTheme="minorEastAsia" w:hAnsiTheme="minorEastAsia" w:eastAsiaTheme="minorEastAsia"/>
                <w:sz w:val="24"/>
              </w:rPr>
            </w:pPr>
            <w:r>
              <w:rPr>
                <w:rFonts w:hint="eastAsia" w:cs="宋体" w:asciiTheme="minorEastAsia" w:hAnsiTheme="minorEastAsia" w:eastAsiaTheme="minorEastAsia"/>
                <w:sz w:val="24"/>
              </w:rPr>
              <w:t>满足P</w:t>
            </w:r>
            <w:r>
              <w:rPr>
                <w:rFonts w:cs="宋体" w:asciiTheme="minorEastAsia" w:hAnsiTheme="minorEastAsia" w:eastAsiaTheme="minorEastAsia"/>
                <w:sz w:val="24"/>
              </w:rPr>
              <w:t>LM</w:t>
            </w:r>
            <w:r>
              <w:rPr>
                <w:rFonts w:hint="eastAsia" w:cs="宋体" w:asciiTheme="minorEastAsia" w:hAnsiTheme="minorEastAsia" w:eastAsiaTheme="minorEastAsia"/>
                <w:sz w:val="24"/>
              </w:rPr>
              <w:t>系统自验收之日起十年内平稳运行</w:t>
            </w:r>
          </w:p>
        </w:tc>
      </w:tr>
    </w:tbl>
    <w:p>
      <w:pPr>
        <w:spacing w:line="360" w:lineRule="auto"/>
        <w:ind w:firstLine="480" w:firstLineChars="200"/>
        <w:rPr>
          <w:rFonts w:asciiTheme="minorEastAsia" w:hAnsiTheme="minorEastAsia" w:eastAsiaTheme="minorEastAsia"/>
          <w:sz w:val="24"/>
        </w:rPr>
      </w:pP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
          <w:bCs/>
          <w:sz w:val="24"/>
        </w:rPr>
        <w:t>（三）</w:t>
      </w:r>
      <w:bookmarkStart w:id="0" w:name="_Toc9874038"/>
      <w:bookmarkStart w:id="1" w:name="_Toc9874176"/>
      <w:r>
        <w:rPr>
          <w:rFonts w:hint="eastAsia" w:asciiTheme="minorEastAsia" w:hAnsiTheme="minorEastAsia" w:eastAsiaTheme="minorEastAsia"/>
          <w:b/>
          <w:bCs/>
          <w:sz w:val="24"/>
        </w:rPr>
        <w:t>项目技术要求</w:t>
      </w:r>
      <w:bookmarkEnd w:id="0"/>
      <w:bookmarkEnd w:id="1"/>
    </w:p>
    <w:p>
      <w:pPr>
        <w:spacing w:line="360" w:lineRule="auto"/>
        <w:ind w:firstLine="480" w:firstLineChars="200"/>
        <w:rPr>
          <w:rFonts w:asciiTheme="minorEastAsia" w:hAnsiTheme="minorEastAsia" w:eastAsiaTheme="minorEastAsia"/>
          <w:sz w:val="24"/>
        </w:rPr>
      </w:pPr>
      <w:bookmarkStart w:id="2" w:name="_Toc9874177"/>
      <w:bookmarkStart w:id="3" w:name="_Toc9874039"/>
      <w:r>
        <w:rPr>
          <w:rFonts w:hint="eastAsia" w:asciiTheme="minorEastAsia" w:hAnsiTheme="minorEastAsia" w:eastAsiaTheme="minorEastAsia"/>
          <w:sz w:val="24"/>
        </w:rPr>
        <w:t>投标人须提供详细的解决方案，必须满足但不限于以下需求。</w:t>
      </w:r>
    </w:p>
    <w:p>
      <w:pPr>
        <w:numPr>
          <w:ilvl w:val="0"/>
          <w:numId w:val="2"/>
        </w:numPr>
        <w:spacing w:line="360" w:lineRule="auto"/>
        <w:ind w:firstLine="480" w:firstLineChars="200"/>
        <w:rPr>
          <w:rFonts w:asciiTheme="minorEastAsia" w:hAnsiTheme="minorEastAsia" w:eastAsiaTheme="minorEastAsia"/>
          <w:b/>
          <w:sz w:val="24"/>
        </w:rPr>
      </w:pPr>
      <w:bookmarkStart w:id="4" w:name="_Toc90671902"/>
      <w:r>
        <w:rPr>
          <w:rFonts w:hint="eastAsia" w:asciiTheme="minorEastAsia" w:hAnsiTheme="minorEastAsia" w:eastAsiaTheme="minorEastAsia"/>
          <w:b/>
          <w:sz w:val="24"/>
        </w:rPr>
        <w:t>项目管理</w:t>
      </w:r>
      <w:bookmarkEnd w:id="4"/>
    </w:p>
    <w:p>
      <w:pPr>
        <w:numPr>
          <w:ilvl w:val="0"/>
          <w:numId w:val="3"/>
        </w:numPr>
        <w:spacing w:line="360" w:lineRule="auto"/>
        <w:rPr>
          <w:rFonts w:asciiTheme="minorEastAsia" w:hAnsiTheme="minorEastAsia" w:eastAsiaTheme="minorEastAsia"/>
          <w:sz w:val="24"/>
        </w:rPr>
      </w:pPr>
      <w:r>
        <w:rPr>
          <w:rFonts w:hint="eastAsia" w:asciiTheme="minorEastAsia" w:hAnsiTheme="minorEastAsia" w:eastAsiaTheme="minorEastAsia"/>
          <w:sz w:val="24"/>
        </w:rPr>
        <w:t>项目组成员可通过门户，按照不同的数据显示、图表显示、报表显示等方式，查</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看、了解和监控当前的工作情况和工作状态：发起的项目、参与的项目、关注的项目、接收的计划任务的情况等，支持按照项目团队中的不同角色，可配置项目不同类型的看板。</w:t>
      </w:r>
    </w:p>
    <w:p>
      <w:pPr>
        <w:numPr>
          <w:ilvl w:val="0"/>
          <w:numId w:val="3"/>
        </w:numPr>
        <w:spacing w:line="360" w:lineRule="auto"/>
        <w:rPr>
          <w:rFonts w:asciiTheme="minorEastAsia" w:hAnsiTheme="minorEastAsia" w:eastAsiaTheme="minorEastAsia"/>
          <w:sz w:val="24"/>
        </w:rPr>
      </w:pPr>
      <w:r>
        <w:rPr>
          <w:rFonts w:hint="eastAsia" w:asciiTheme="minorEastAsia" w:hAnsiTheme="minorEastAsia" w:eastAsiaTheme="minorEastAsia"/>
          <w:sz w:val="24"/>
        </w:rPr>
        <w:t>项目经理可在线编辑各种类型项目的立项信息，不同类型项目的属性可配置、可</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扩展。支持项目经理选择各评审步骤评审人员发起项目立项评审流程；具备流程通知功能，发起流程时支持选择部分人员通知其立项评审信息。</w:t>
      </w:r>
    </w:p>
    <w:p>
      <w:pPr>
        <w:numPr>
          <w:ilvl w:val="0"/>
          <w:numId w:val="3"/>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支持创建项目模板，模板中可以定义项目日历、项目任务、项目任务关联关系、</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项目任务交付物要求、项目团队。项目模板作为执行规范，应有详细的日志记录，便于查询操作记录，操作记录中包含操作种类、操作描述、操作时间、操作I</w:t>
      </w:r>
      <w:r>
        <w:rPr>
          <w:rFonts w:asciiTheme="minorEastAsia" w:hAnsiTheme="minorEastAsia" w:eastAsiaTheme="minorEastAsia"/>
          <w:sz w:val="24"/>
        </w:rPr>
        <w:t>P</w:t>
      </w:r>
      <w:r>
        <w:rPr>
          <w:rFonts w:hint="eastAsia" w:asciiTheme="minorEastAsia" w:hAnsiTheme="minorEastAsia" w:eastAsiaTheme="minorEastAsia"/>
          <w:sz w:val="24"/>
        </w:rPr>
        <w:t>信息。不同类型项目的主计划和计划任务可形成项目计划模板在系统中统一管理，项目经理在编辑新的项目计划时，可直接套用模板进行编辑，支持借用系统中已有的项目计划创建项目。</w:t>
      </w:r>
    </w:p>
    <w:p>
      <w:pPr>
        <w:numPr>
          <w:ilvl w:val="0"/>
          <w:numId w:val="3"/>
        </w:numPr>
        <w:spacing w:line="360" w:lineRule="auto"/>
        <w:rPr>
          <w:rFonts w:asciiTheme="minorEastAsia" w:hAnsiTheme="minorEastAsia" w:eastAsiaTheme="minorEastAsia"/>
          <w:sz w:val="24"/>
        </w:rPr>
      </w:pPr>
      <w:r>
        <w:rPr>
          <w:rFonts w:hint="eastAsia" w:asciiTheme="minorEastAsia" w:hAnsiTheme="minorEastAsia" w:eastAsiaTheme="minorEastAsia"/>
          <w:sz w:val="24"/>
        </w:rPr>
        <w:t>★可根据不同项目类型建立符合企业的项目管理中心，定义相关项目分类责任用</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户和浏览用户。项目类型节点可以由业务人员创建，转交所有权给管理员统一管理。</w:t>
      </w:r>
    </w:p>
    <w:p>
      <w:pPr>
        <w:numPr>
          <w:ilvl w:val="0"/>
          <w:numId w:val="3"/>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★支持项目主计划和计划任务编制，项目经理能够根据项目整体周期要求排定项</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目开发计划，约束各个节点的开始时间、完成时间、任务要求、交付物要求、工时要求等信息，并进行在线的项目的WBS分解，进行项目资源的分配、项目工期的估算等。支持导入Project格式文件生成计划，项目计划也可以导出成为Project格式文件。支持自动生成甘特图，甘特图与项目计划实时联动。</w:t>
      </w:r>
    </w:p>
    <w:p>
      <w:pPr>
        <w:numPr>
          <w:ilvl w:val="0"/>
          <w:numId w:val="3"/>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支持按照时间轴、项目资源名称等维度，查看空负荷资源、释放负荷、实际负荷</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情况。分析项目资源的项目计划任务负荷情况，辅助项目经理合理安排项目资源。项目计划任务可通过消息提醒的方式，提醒项目组成员接收和完成项目计划任务。项目任务可以设置预警时间，提前预警。系统提供项目过程监控的功能，用户能够通过指示灯、报表、图表等方式，直观的监控项目的进度和健康状态，同时可以根据用户需要，定制统计汇总报表和图表。</w:t>
      </w:r>
    </w:p>
    <w:p>
      <w:pPr>
        <w:numPr>
          <w:ilvl w:val="0"/>
          <w:numId w:val="3"/>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★支持项目过程中的交付物的评审、项目计划任务调整的评审、项目验收评审等。</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都可以在系统中配置相应的评审流程，由用户在发起时进行选择。支持设置交付的权重。交付物可以追溯历史版本，查看历史文件内容，比较不同版本属性差异。支持查看交付物变更历史和变更原因，并能够查看交付物的详细操作日志。项目计划和交付物关联更新：系统提供项目计划和交付物之间的关联管理功能，交付物完成、并经过评审通过后，对应的项目计划进度应自动、实时更新，项目经理能够实时监控项目计划进度。</w:t>
      </w:r>
    </w:p>
    <w:p>
      <w:pPr>
        <w:numPr>
          <w:ilvl w:val="0"/>
          <w:numId w:val="3"/>
        </w:numPr>
        <w:spacing w:line="360" w:lineRule="auto"/>
        <w:rPr>
          <w:rFonts w:asciiTheme="minorEastAsia" w:hAnsiTheme="minorEastAsia" w:eastAsiaTheme="minorEastAsia"/>
          <w:sz w:val="24"/>
        </w:rPr>
      </w:pPr>
      <w:r>
        <w:rPr>
          <w:rFonts w:hint="eastAsia" w:cs="微软雅黑" w:asciiTheme="minorEastAsia" w:hAnsiTheme="minorEastAsia" w:eastAsiaTheme="minorEastAsia"/>
          <w:sz w:val="24"/>
        </w:rPr>
        <w:t>支</w:t>
      </w:r>
      <w:r>
        <w:rPr>
          <w:rFonts w:hint="eastAsia" w:asciiTheme="minorEastAsia" w:hAnsiTheme="minorEastAsia" w:eastAsiaTheme="minorEastAsia"/>
          <w:sz w:val="24"/>
        </w:rPr>
        <w:t>持项目计划交付物齐套性检查，必须有交付物的计划任务，若该任务下没有交</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付物，则进行提示，并支持将齐套性检查结果进行汇总。</w:t>
      </w:r>
    </w:p>
    <w:p>
      <w:pPr>
        <w:numPr>
          <w:ilvl w:val="0"/>
          <w:numId w:val="3"/>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支持按照登录用户的角色（项目经理、项目组成员等），将该用户所参与、关注、</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执行的项目信息，以图表、报表的方式进行组织，以看板的方式进行呈现。</w:t>
      </w:r>
    </w:p>
    <w:p>
      <w:pPr>
        <w:numPr>
          <w:ilvl w:val="0"/>
          <w:numId w:val="0"/>
        </w:numPr>
        <w:spacing w:line="360" w:lineRule="auto"/>
        <w:ind w:left="420" w:leftChars="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10）</w:t>
      </w:r>
      <w:r>
        <w:rPr>
          <w:rFonts w:hint="eastAsia" w:asciiTheme="minorEastAsia" w:hAnsiTheme="minorEastAsia" w:eastAsiaTheme="minorEastAsia"/>
          <w:sz w:val="24"/>
        </w:rPr>
        <w:t>可在系统中发起项目变更。项目变更应分为基础信息变更、项目计划变更两</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种，并支持通过流程驱动完成变更申请。提供项目计划微调功能，支持调整非里程碑任务的时间人员安排等信息。</w:t>
      </w:r>
    </w:p>
    <w:p>
      <w:pPr>
        <w:numPr>
          <w:ilvl w:val="0"/>
          <w:numId w:val="0"/>
        </w:numPr>
        <w:spacing w:line="360" w:lineRule="auto"/>
        <w:ind w:left="420" w:leftChars="0"/>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★支持在系统中生成项目基线。不同项目基线之间可以比较，生成差异表。</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对于差异可以区分突出显示，便于项目经理查看。</w:t>
      </w:r>
    </w:p>
    <w:p>
      <w:pPr>
        <w:numPr>
          <w:ilvl w:val="0"/>
          <w:numId w:val="4"/>
        </w:numPr>
        <w:spacing w:line="360" w:lineRule="auto"/>
        <w:ind w:left="420" w:leftChars="0"/>
        <w:rPr>
          <w:rFonts w:hint="eastAsia" w:asciiTheme="minorEastAsia" w:hAnsiTheme="minorEastAsia" w:eastAsiaTheme="minorEastAsia"/>
          <w:sz w:val="24"/>
        </w:rPr>
      </w:pPr>
      <w:r>
        <w:rPr>
          <w:rFonts w:hint="eastAsia" w:asciiTheme="minorEastAsia" w:hAnsiTheme="minorEastAsia" w:eastAsiaTheme="minorEastAsia"/>
          <w:sz w:val="24"/>
        </w:rPr>
        <w:t>系统提供统计汇总功能，能够对进度、工作量、项目质量问题等指标进行汇总分</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析，以柱状图、折线图、曲线图等多种报表和图表的形式进行直观展现。</w:t>
      </w:r>
      <w:r>
        <w:rPr>
          <w:rFonts w:hint="eastAsia" w:asciiTheme="minorEastAsia" w:hAnsiTheme="minorEastAsia" w:eastAsiaTheme="minorEastAsia"/>
          <w:bCs/>
          <w:sz w:val="24"/>
        </w:rPr>
        <w:t>支持筛选出个人参与项目情况、计划工时及实际耗用工时，可填报项目工作日志、个人工作量占比等，并汇总计算项目月度、季度、年度工时。</w:t>
      </w:r>
    </w:p>
    <w:p>
      <w:pPr>
        <w:numPr>
          <w:ilvl w:val="0"/>
          <w:numId w:val="2"/>
        </w:numPr>
        <w:spacing w:line="360" w:lineRule="auto"/>
        <w:ind w:firstLine="480" w:firstLineChars="200"/>
        <w:rPr>
          <w:rFonts w:asciiTheme="minorEastAsia" w:hAnsiTheme="minorEastAsia" w:eastAsiaTheme="minorEastAsia"/>
          <w:b/>
          <w:sz w:val="24"/>
        </w:rPr>
      </w:pPr>
      <w:bookmarkStart w:id="5" w:name="_Toc75339743"/>
      <w:bookmarkStart w:id="6" w:name="_Toc90671903"/>
      <w:r>
        <w:rPr>
          <w:rFonts w:hint="eastAsia" w:asciiTheme="minorEastAsia" w:hAnsiTheme="minorEastAsia" w:eastAsiaTheme="minorEastAsia"/>
          <w:b/>
          <w:sz w:val="24"/>
        </w:rPr>
        <w:t>编码管理</w:t>
      </w:r>
      <w:bookmarkEnd w:id="5"/>
      <w:bookmarkEnd w:id="6"/>
    </w:p>
    <w:p>
      <w:pPr>
        <w:numPr>
          <w:ilvl w:val="0"/>
          <w:numId w:val="5"/>
        </w:numPr>
        <w:spacing w:line="360" w:lineRule="auto"/>
        <w:rPr>
          <w:rFonts w:asciiTheme="minorEastAsia" w:hAnsiTheme="minorEastAsia" w:eastAsiaTheme="minorEastAsia"/>
          <w:sz w:val="24"/>
        </w:rPr>
      </w:pPr>
      <w:bookmarkStart w:id="7" w:name="_Toc90671904"/>
      <w:bookmarkStart w:id="8" w:name="_Toc75339744"/>
      <w:r>
        <w:rPr>
          <w:rFonts w:hint="eastAsia" w:asciiTheme="minorEastAsia" w:hAnsiTheme="minorEastAsia" w:eastAsiaTheme="minorEastAsia"/>
          <w:sz w:val="24"/>
        </w:rPr>
        <w:t>系统具备编码规则创建和管理功能，支持按照企业现有编码体系和规则进行动态</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编码创建，为编码体系应用提供管理工具，实现对产品、零部件、标准文件、更改单等对象的编码管理；</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★系统具备编码库的管理功能，支持对编码进行关键词查询、状态查询追溯，支</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持编码的排序、按页查看编码生成人员、生成时间等信息，支持编码回收；支持断码、跳码在申请编码时优先使用，也支持选择性跳过；</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★系统具备编码的自动生成功能，支持按照定义好的编码规则自动生成唯一编码；</w:t>
      </w:r>
    </w:p>
    <w:p>
      <w:pPr>
        <w:numPr>
          <w:ilvl w:val="0"/>
          <w:numId w:val="5"/>
        </w:numPr>
        <w:spacing w:line="360" w:lineRule="auto"/>
        <w:rPr>
          <w:rFonts w:asciiTheme="minorEastAsia" w:hAnsiTheme="minorEastAsia" w:eastAsiaTheme="minorEastAsia"/>
          <w:sz w:val="24"/>
        </w:rPr>
      </w:pPr>
      <w:r>
        <w:rPr>
          <w:rFonts w:hint="eastAsia" w:asciiTheme="minorEastAsia" w:hAnsiTheme="minorEastAsia" w:eastAsiaTheme="minorEastAsia"/>
          <w:sz w:val="24"/>
        </w:rPr>
        <w:t>编码数据生成与查询方便快捷，具备快速反查功能，通过编码能够快速找到系统</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中对应的对象及其关联的零部件、数模、图纸、体系文件等。</w:t>
      </w:r>
    </w:p>
    <w:p>
      <w:pPr>
        <w:numPr>
          <w:ilvl w:val="0"/>
          <w:numId w:val="2"/>
        </w:num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产品数据管理</w:t>
      </w:r>
      <w:bookmarkEnd w:id="7"/>
      <w:bookmarkEnd w:id="8"/>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所有与产品相关的产品整个生命周期中的所有相关数据，如三维数模、二维工程</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图、BOM明细、任务书、说明书、版本信息、工艺数据等，必须以产品结构为中心，以结构树的形式，将产品的所有设计数据和工艺数据进行一体化的关联呈现，可以选择展开详细数据界面；</w:t>
      </w:r>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★系统提供图文档的版本和版次（对图文档的修改）管理功能，并保留所有的版</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本和版次信息、以及历史更改信息，用户可随时查询和追溯历史版本和版次信息，并可以从存在的任何工作版本中重新加载数据。支持关注产品数据的编辑、删除、修订、发布动态，实时接收消息并通过消息查看变更内容；</w:t>
      </w:r>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系统中所有的图文档可以设置有不同的状态进行控制（比如设计状态、审批状态、</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发布状态等），不同状态具有不同的权限控制，图文档发布后不允许进行随意更改；</w:t>
      </w:r>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系统提供文档模板管理功能，将技术中心常用的手册、报告、通知、计划、评审</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等文档按照部门组织结构或文档属性进行分类，以模板的形式在系统中进行结构化统一管理，用户在需要使用和填写相关文档时，直接通过调用打开模板进行填写； </w:t>
      </w:r>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★系统支持在图文档详情页面显示文档内容的缩略图，便于了解文件大致内容；</w:t>
      </w:r>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★系统可将已经发布的文档自动转化为PDF文档进行输出，并且可以添加电子图</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章和水印；</w:t>
      </w:r>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系统提供知识、资料库管理功能，用户可以按照产品系列、部门、知识特征进行</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分类，可以自定义分类结构，结构化管理产品设计开发和工艺过程开发工作过程中需要参考、引用和借鉴的国家标准、行业标准、体系规范、设计规范等知识资料，并且能够加以权限，有序共享和使用；</w:t>
      </w:r>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用户可自定义各种零组件和图文档的查询条件和查询方式，可灵活、快速的检索、</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引用查询结果。</w:t>
      </w:r>
    </w:p>
    <w:p>
      <w:pPr>
        <w:numPr>
          <w:ilvl w:val="0"/>
          <w:numId w:val="2"/>
        </w:numPr>
        <w:spacing w:line="360" w:lineRule="auto"/>
        <w:ind w:firstLine="480" w:firstLineChars="200"/>
        <w:rPr>
          <w:rFonts w:asciiTheme="minorEastAsia" w:hAnsiTheme="minorEastAsia" w:eastAsiaTheme="minorEastAsia"/>
          <w:b/>
          <w:sz w:val="24"/>
        </w:rPr>
      </w:pPr>
      <w:bookmarkStart w:id="9" w:name="_Toc75339745"/>
      <w:bookmarkStart w:id="10" w:name="_Toc90671905"/>
      <w:r>
        <w:rPr>
          <w:rFonts w:hint="eastAsia" w:asciiTheme="minorEastAsia" w:hAnsiTheme="minorEastAsia" w:eastAsiaTheme="minorEastAsia"/>
          <w:b/>
          <w:sz w:val="24"/>
        </w:rPr>
        <w:t>图文档可视化浏览</w:t>
      </w:r>
      <w:bookmarkEnd w:id="9"/>
      <w:bookmarkEnd w:id="10"/>
    </w:p>
    <w:p>
      <w:pPr>
        <w:numPr>
          <w:ilvl w:val="0"/>
          <w:numId w:val="7"/>
        </w:numPr>
        <w:spacing w:line="360" w:lineRule="auto"/>
        <w:ind w:left="840" w:leftChars="0" w:firstLineChars="0"/>
        <w:rPr>
          <w:rFonts w:asciiTheme="minorEastAsia" w:hAnsiTheme="minorEastAsia" w:eastAsiaTheme="minorEastAsia"/>
          <w:sz w:val="24"/>
        </w:rPr>
      </w:pPr>
      <w:r>
        <w:rPr>
          <w:rFonts w:hint="eastAsia" w:asciiTheme="minorEastAsia" w:hAnsiTheme="minorEastAsia" w:eastAsiaTheme="minorEastAsia"/>
          <w:sz w:val="24"/>
        </w:rPr>
        <w:t>系统应提供内置的可视化浏览器，浏览器可以浏览主流格式的二维CAD、三维CAD</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文件、Office文件、PDF文件、图片文件等，无需安装相应的软件。</w:t>
      </w:r>
    </w:p>
    <w:p>
      <w:pPr>
        <w:numPr>
          <w:ilvl w:val="0"/>
          <w:numId w:val="0"/>
        </w:num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color w:val="auto"/>
          <w:sz w:val="24"/>
          <w:highlight w:val="none"/>
        </w:rPr>
        <w:t>系统内置的可视化浏览器</w:t>
      </w:r>
      <w:r>
        <w:rPr>
          <w:rFonts w:hint="eastAsia" w:asciiTheme="minorEastAsia" w:hAnsiTheme="minorEastAsia" w:eastAsiaTheme="minorEastAsia"/>
          <w:color w:val="auto"/>
          <w:sz w:val="24"/>
          <w:highlight w:val="none"/>
          <w:lang w:eastAsia="zh-CN"/>
        </w:rPr>
        <w:t>投标方必须保证国产化开发和使用。</w:t>
      </w:r>
    </w:p>
    <w:p>
      <w:pPr>
        <w:numPr>
          <w:ilvl w:val="0"/>
          <w:numId w:val="0"/>
        </w:numPr>
        <w:spacing w:line="360" w:lineRule="auto"/>
        <w:ind w:left="420" w:leftChars="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★支持基于模型或者解析的BOM结构树浏览模型，控制模型显隐状态，进行高亮</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显示等，能够清晰表达各个零部件的装配关系，对应的三维模型能够显示、标识尺寸等。</w:t>
      </w:r>
    </w:p>
    <w:p>
      <w:pPr>
        <w:numPr>
          <w:ilvl w:val="0"/>
          <w:numId w:val="0"/>
        </w:numPr>
        <w:spacing w:line="360" w:lineRule="auto"/>
        <w:ind w:left="420" w:leftChars="0"/>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★满足企业产品三维模型的流畅显示、浏览；支持基本三维浏览，包括三维基本</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视图、渲染、透视、缩放、平移、旋转、居中操作等。支持常见的注释标记、尺寸测量、图章、PMI显示功能。</w:t>
      </w:r>
    </w:p>
    <w:p>
      <w:pPr>
        <w:numPr>
          <w:ilvl w:val="0"/>
          <w:numId w:val="0"/>
        </w:numPr>
        <w:spacing w:line="360" w:lineRule="auto"/>
        <w:ind w:left="420" w:leftChars="0"/>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支持对二维图纸和Office浏览时显示操作人水印。</w:t>
      </w:r>
    </w:p>
    <w:p>
      <w:pPr>
        <w:pStyle w:val="20"/>
        <w:numPr>
          <w:ilvl w:val="0"/>
          <w:numId w:val="2"/>
        </w:numPr>
        <w:spacing w:line="360" w:lineRule="auto"/>
        <w:ind w:firstLineChars="0"/>
        <w:rPr>
          <w:rFonts w:asciiTheme="minorEastAsia" w:hAnsiTheme="minorEastAsia" w:eastAsiaTheme="minorEastAsia"/>
          <w:b/>
          <w:sz w:val="24"/>
        </w:rPr>
      </w:pPr>
      <w:r>
        <w:rPr>
          <w:rFonts w:hint="eastAsia" w:asciiTheme="minorEastAsia" w:hAnsiTheme="minorEastAsia" w:eastAsiaTheme="minorEastAsia"/>
          <w:b/>
          <w:sz w:val="24"/>
        </w:rPr>
        <w:t xml:space="preserve">IATF16949体系文件管理 </w:t>
      </w:r>
    </w:p>
    <w:p>
      <w:pPr>
        <w:pStyle w:val="20"/>
        <w:numPr>
          <w:ilvl w:val="0"/>
          <w:numId w:val="8"/>
        </w:numPr>
        <w:spacing w:line="360" w:lineRule="auto"/>
        <w:ind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cs="微软雅黑" w:asciiTheme="minorEastAsia" w:hAnsiTheme="minorEastAsia" w:eastAsiaTheme="minorEastAsia"/>
          <w:sz w:val="24"/>
          <w:highlight w:val="none"/>
        </w:rPr>
        <w:t>支持根据不同客户创建对应的体系文件模板；</w:t>
      </w:r>
    </w:p>
    <w:p>
      <w:pPr>
        <w:pStyle w:val="20"/>
        <w:numPr>
          <w:ilvl w:val="0"/>
          <w:numId w:val="8"/>
        </w:numPr>
        <w:spacing w:line="360" w:lineRule="auto"/>
        <w:ind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cs="微软雅黑" w:asciiTheme="minorEastAsia" w:hAnsiTheme="minorEastAsia" w:eastAsiaTheme="minorEastAsia"/>
          <w:sz w:val="24"/>
          <w:highlight w:val="none"/>
        </w:rPr>
        <w:t>能够通过读取产品图纸或根据产品属性表中的产品属性信息，在生成体系文件</w:t>
      </w:r>
    </w:p>
    <w:p>
      <w:pPr>
        <w:pStyle w:val="20"/>
        <w:numPr>
          <w:ilvl w:val="0"/>
          <w:numId w:val="0"/>
        </w:numPr>
        <w:spacing w:line="360" w:lineRule="auto"/>
        <w:rPr>
          <w:rFonts w:hint="eastAsia" w:asciiTheme="minorEastAsia" w:hAnsiTheme="minorEastAsia" w:eastAsiaTheme="minorEastAsia"/>
          <w:sz w:val="24"/>
          <w:highlight w:val="none"/>
          <w:lang w:eastAsia="zh-CN"/>
        </w:rPr>
      </w:pPr>
      <w:r>
        <w:rPr>
          <w:rFonts w:hint="eastAsia" w:cs="微软雅黑" w:asciiTheme="minorEastAsia" w:hAnsiTheme="minorEastAsia" w:eastAsiaTheme="minorEastAsia"/>
          <w:sz w:val="24"/>
          <w:highlight w:val="none"/>
        </w:rPr>
        <w:t>时，自动在体系文件模板中填入</w:t>
      </w:r>
      <w:r>
        <w:rPr>
          <w:rFonts w:hint="eastAsia" w:cs="微软雅黑" w:asciiTheme="minorEastAsia" w:hAnsiTheme="minorEastAsia" w:eastAsiaTheme="minorEastAsia"/>
          <w:sz w:val="24"/>
          <w:highlight w:val="none"/>
          <w:lang w:eastAsia="zh-CN"/>
        </w:rPr>
        <w:t>相关</w:t>
      </w:r>
      <w:r>
        <w:rPr>
          <w:rFonts w:hint="eastAsia" w:cs="微软雅黑" w:asciiTheme="minorEastAsia" w:hAnsiTheme="minorEastAsia" w:eastAsiaTheme="minorEastAsia"/>
          <w:sz w:val="24"/>
          <w:highlight w:val="none"/>
        </w:rPr>
        <w:t>信息</w:t>
      </w:r>
      <w:r>
        <w:rPr>
          <w:rFonts w:hint="eastAsia" w:cs="微软雅黑" w:asciiTheme="minorEastAsia" w:hAnsiTheme="minorEastAsia" w:eastAsiaTheme="minorEastAsia"/>
          <w:sz w:val="24"/>
          <w:highlight w:val="none"/>
          <w:lang w:val="en-US" w:eastAsia="zh-CN"/>
        </w:rPr>
        <w:t>(例如填入实效模式自动生成失效后果分析和预防措施；填入控制计划中控制项目自动生成过程规范、测量方法等）。</w:t>
      </w:r>
    </w:p>
    <w:p>
      <w:pPr>
        <w:numPr>
          <w:ilvl w:val="0"/>
          <w:numId w:val="2"/>
        </w:numPr>
        <w:spacing w:line="360" w:lineRule="auto"/>
        <w:ind w:firstLine="480" w:firstLineChars="200"/>
        <w:rPr>
          <w:rFonts w:asciiTheme="minorEastAsia" w:hAnsiTheme="minorEastAsia" w:eastAsiaTheme="minorEastAsia"/>
          <w:b/>
          <w:sz w:val="24"/>
        </w:rPr>
      </w:pPr>
      <w:bookmarkStart w:id="11" w:name="_Toc75339748"/>
      <w:bookmarkStart w:id="12" w:name="_Toc449008941"/>
      <w:bookmarkStart w:id="13" w:name="_Toc515441494"/>
      <w:bookmarkStart w:id="14" w:name="_Toc491425842"/>
      <w:bookmarkStart w:id="15" w:name="_Toc90671906"/>
      <w:bookmarkStart w:id="16" w:name="_Toc404959055"/>
      <w:r>
        <w:rPr>
          <w:rFonts w:hint="eastAsia" w:asciiTheme="minorEastAsia" w:hAnsiTheme="minorEastAsia" w:eastAsiaTheme="minorEastAsia"/>
          <w:b/>
          <w:sz w:val="24"/>
        </w:rPr>
        <w:t>与中望CAD、CAXA集成</w:t>
      </w:r>
    </w:p>
    <w:p>
      <w:pPr>
        <w:numPr>
          <w:ilvl w:val="0"/>
          <w:numId w:val="9"/>
        </w:numPr>
        <w:spacing w:line="360" w:lineRule="auto"/>
        <w:rPr>
          <w:rFonts w:asciiTheme="minorEastAsia" w:hAnsiTheme="minorEastAsia" w:eastAsiaTheme="minorEastAsia"/>
          <w:sz w:val="24"/>
        </w:rPr>
      </w:pPr>
      <w:r>
        <w:rPr>
          <w:rFonts w:hint="eastAsia" w:asciiTheme="minorEastAsia" w:hAnsiTheme="minorEastAsia" w:eastAsiaTheme="minorEastAsia"/>
          <w:sz w:val="24"/>
        </w:rPr>
        <w:t>实现P</w:t>
      </w:r>
      <w:r>
        <w:rPr>
          <w:rFonts w:hint="eastAsia" w:asciiTheme="minorEastAsia" w:hAnsiTheme="minorEastAsia" w:eastAsiaTheme="minorEastAsia"/>
          <w:sz w:val="24"/>
          <w:lang w:val="en-US" w:eastAsia="zh-CN"/>
        </w:rPr>
        <w:t>L</w:t>
      </w:r>
      <w:r>
        <w:rPr>
          <w:rFonts w:hint="eastAsia" w:asciiTheme="minorEastAsia" w:hAnsiTheme="minorEastAsia" w:eastAsiaTheme="minorEastAsia"/>
          <w:sz w:val="24"/>
        </w:rPr>
        <w:t>M和CAD的数据双向关联，CAD的数据修改不需要通过中间文件，直接传</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递到PDM中，而且PDM中对数据的修改也可以直接反映到CAD图纸；通过CAD软件直接保存至PDM系统中(文件放入文件仓库)，并且可以直接进行编辑、保存等。</w:t>
      </w:r>
    </w:p>
    <w:p>
      <w:pPr>
        <w:numPr>
          <w:ilvl w:val="0"/>
          <w:numId w:val="9"/>
        </w:numPr>
        <w:spacing w:line="360" w:lineRule="auto"/>
        <w:rPr>
          <w:rFonts w:asciiTheme="minorEastAsia" w:hAnsiTheme="minorEastAsia" w:eastAsiaTheme="minorEastAsia"/>
          <w:sz w:val="24"/>
        </w:rPr>
      </w:pPr>
      <w:r>
        <w:rPr>
          <w:rFonts w:hint="eastAsia" w:asciiTheme="minorEastAsia" w:hAnsiTheme="minorEastAsia" w:eastAsiaTheme="minorEastAsia"/>
          <w:sz w:val="24"/>
        </w:rPr>
        <w:t>工程图能够批量导入PDM系统，对于工程图能够自动完成PDF转化，方便浏览，</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支持PDF文件的审批签章。</w:t>
      </w:r>
    </w:p>
    <w:p>
      <w:pPr>
        <w:numPr>
          <w:ilvl w:val="0"/>
          <w:numId w:val="9"/>
        </w:numPr>
        <w:spacing w:line="360" w:lineRule="auto"/>
        <w:rPr>
          <w:rFonts w:asciiTheme="minorEastAsia" w:hAnsiTheme="minorEastAsia" w:eastAsiaTheme="minorEastAsia"/>
          <w:sz w:val="24"/>
        </w:rPr>
      </w:pPr>
      <w:r>
        <w:rPr>
          <w:rFonts w:hint="eastAsia" w:asciiTheme="minorEastAsia" w:hAnsiTheme="minorEastAsia" w:eastAsiaTheme="minorEastAsia"/>
          <w:sz w:val="24"/>
        </w:rPr>
        <w:t>在二维CAD软件中，用户可以利用集成内嵌的工具条或菜单，实现模板标准化，</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明细表填写、零部件查询及借用、调用编码器等，通过接口快速将明细表检入到PDM系统中生成BOM，也可支持PDM中BOM表更新到CAD明细表，支持设计图纸的批量检入及审批签章等操作。</w:t>
      </w:r>
    </w:p>
    <w:bookmarkEnd w:id="11"/>
    <w:bookmarkEnd w:id="12"/>
    <w:bookmarkEnd w:id="13"/>
    <w:bookmarkEnd w:id="14"/>
    <w:bookmarkEnd w:id="15"/>
    <w:bookmarkEnd w:id="16"/>
    <w:p>
      <w:pPr>
        <w:numPr>
          <w:ilvl w:val="0"/>
          <w:numId w:val="2"/>
        </w:numPr>
        <w:spacing w:line="360" w:lineRule="auto"/>
        <w:ind w:firstLine="480" w:firstLineChars="200"/>
        <w:rPr>
          <w:rFonts w:asciiTheme="minorEastAsia" w:hAnsiTheme="minorEastAsia" w:eastAsiaTheme="minorEastAsia"/>
          <w:b/>
          <w:sz w:val="24"/>
        </w:rPr>
      </w:pPr>
      <w:bookmarkStart w:id="17" w:name="_Toc90671907"/>
      <w:bookmarkStart w:id="18" w:name="_Toc75339749"/>
      <w:r>
        <w:rPr>
          <w:rFonts w:hint="eastAsia" w:asciiTheme="minorEastAsia" w:hAnsiTheme="minorEastAsia" w:eastAsiaTheme="minorEastAsia"/>
          <w:b/>
          <w:sz w:val="24"/>
        </w:rPr>
        <w:t>零部件管理</w:t>
      </w:r>
      <w:bookmarkEnd w:id="17"/>
      <w:bookmarkEnd w:id="18"/>
    </w:p>
    <w:p>
      <w:pPr>
        <w:numPr>
          <w:ilvl w:val="0"/>
          <w:numId w:val="10"/>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系统提供零部件分类库管理的功能，根据零部件的功能、用途、结构等特征因素、</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属性，结构化、管理零部件信息，形成零部件分类库，管理所有零部件信息。零部件分类库的分类结构，零部件属性、参数信息均可配置。</w:t>
      </w:r>
    </w:p>
    <w:p>
      <w:pPr>
        <w:numPr>
          <w:ilvl w:val="0"/>
          <w:numId w:val="10"/>
        </w:numPr>
        <w:spacing w:line="360" w:lineRule="auto"/>
        <w:rPr>
          <w:rFonts w:asciiTheme="minorEastAsia" w:hAnsiTheme="minorEastAsia" w:eastAsiaTheme="minorEastAsia"/>
          <w:sz w:val="24"/>
        </w:rPr>
      </w:pPr>
      <w:r>
        <w:rPr>
          <w:rFonts w:hint="eastAsia" w:asciiTheme="minorEastAsia" w:hAnsiTheme="minorEastAsia" w:eastAsiaTheme="minorEastAsia"/>
          <w:sz w:val="24"/>
        </w:rPr>
        <w:t>用户在编辑BOM时，可查询、引用零部件分类库中的零部件信息。</w:t>
      </w:r>
    </w:p>
    <w:p>
      <w:pPr>
        <w:numPr>
          <w:ilvl w:val="0"/>
          <w:numId w:val="2"/>
        </w:numPr>
        <w:spacing w:line="360" w:lineRule="auto"/>
        <w:ind w:firstLine="480" w:firstLineChars="200"/>
        <w:rPr>
          <w:rFonts w:asciiTheme="minorEastAsia" w:hAnsiTheme="minorEastAsia" w:eastAsiaTheme="minorEastAsia"/>
          <w:b/>
          <w:sz w:val="24"/>
        </w:rPr>
      </w:pPr>
      <w:bookmarkStart w:id="19" w:name="_Toc75339750"/>
      <w:bookmarkStart w:id="20" w:name="_Toc90671908"/>
      <w:r>
        <w:rPr>
          <w:rFonts w:hint="eastAsia" w:asciiTheme="minorEastAsia" w:hAnsiTheme="minorEastAsia" w:eastAsiaTheme="minorEastAsia"/>
          <w:b/>
          <w:sz w:val="24"/>
        </w:rPr>
        <w:t>产品结构管理</w:t>
      </w:r>
      <w:bookmarkEnd w:id="19"/>
      <w:bookmarkEnd w:id="20"/>
    </w:p>
    <w:p>
      <w:pPr>
        <w:numPr>
          <w:ilvl w:val="0"/>
          <w:numId w:val="11"/>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系统具备多种BOM生成方式，支持CAD文件、Excel明细表批量导入生成BOM，也</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可在系统中快速编辑生成BOM。</w:t>
      </w:r>
    </w:p>
    <w:p>
      <w:pPr>
        <w:numPr>
          <w:ilvl w:val="0"/>
          <w:numId w:val="11"/>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系统具备灵活、方便的产品结构创建和编辑功能，支持通过查找、复制、粘贴、</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批量编辑等方式进行编辑，可以方便的查找、借用已有零部件。</w:t>
      </w:r>
    </w:p>
    <w:p>
      <w:pPr>
        <w:numPr>
          <w:ilvl w:val="0"/>
          <w:numId w:val="11"/>
        </w:numPr>
        <w:spacing w:line="360" w:lineRule="auto"/>
        <w:rPr>
          <w:rFonts w:asciiTheme="minorEastAsia" w:hAnsiTheme="minorEastAsia" w:eastAsiaTheme="minorEastAsia"/>
          <w:sz w:val="24"/>
        </w:rPr>
      </w:pPr>
      <w:r>
        <w:rPr>
          <w:rFonts w:hint="eastAsia" w:asciiTheme="minorEastAsia" w:hAnsiTheme="minorEastAsia" w:eastAsiaTheme="minorEastAsia"/>
          <w:sz w:val="24"/>
        </w:rPr>
        <w:t>系统应支持BOM界面信息显示顺序调整，如可按照习惯自定义BOM中列的先后顺</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序、每列数据的显示位置（居中、左对齐、右对齐）。</w:t>
      </w:r>
    </w:p>
    <w:p>
      <w:pPr>
        <w:numPr>
          <w:ilvl w:val="0"/>
          <w:numId w:val="11"/>
        </w:numPr>
        <w:spacing w:line="360" w:lineRule="auto"/>
        <w:rPr>
          <w:rFonts w:asciiTheme="minorEastAsia" w:hAnsiTheme="minorEastAsia" w:eastAsiaTheme="minorEastAsia"/>
          <w:sz w:val="24"/>
        </w:rPr>
      </w:pPr>
      <w:r>
        <w:rPr>
          <w:rFonts w:hint="eastAsia" w:asciiTheme="minorEastAsia" w:hAnsiTheme="minorEastAsia" w:eastAsiaTheme="minorEastAsia"/>
          <w:sz w:val="24"/>
        </w:rPr>
        <w:t>★用户可通过模糊查询（零件编号、零件名称等条件），在产品结构上快速定位</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零部件所在位置。</w:t>
      </w:r>
    </w:p>
    <w:p>
      <w:pPr>
        <w:numPr>
          <w:ilvl w:val="0"/>
          <w:numId w:val="11"/>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★支持相似BOM的差异分析。</w:t>
      </w:r>
    </w:p>
    <w:p>
      <w:pPr>
        <w:numPr>
          <w:ilvl w:val="0"/>
          <w:numId w:val="11"/>
        </w:numPr>
        <w:spacing w:line="360" w:lineRule="auto"/>
        <w:rPr>
          <w:rFonts w:asciiTheme="minorEastAsia" w:hAnsiTheme="minorEastAsia" w:eastAsiaTheme="minorEastAsia"/>
          <w:sz w:val="24"/>
        </w:rPr>
      </w:pPr>
      <w:r>
        <w:rPr>
          <w:rFonts w:hint="eastAsia" w:asciiTheme="minorEastAsia" w:hAnsiTheme="minorEastAsia" w:eastAsiaTheme="minorEastAsia"/>
          <w:sz w:val="24"/>
        </w:rPr>
        <w:t>BOM支持多层树形结构层层展开，可进行单级、多级BOM正向、逆向汇总，也可</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进行多视图分类，按照自制、外协、标准等分类特性进行汇总，汇总明细表可输出成指定格式的Excel格式文件。</w:t>
      </w:r>
    </w:p>
    <w:p>
      <w:pPr>
        <w:numPr>
          <w:ilvl w:val="0"/>
          <w:numId w:val="11"/>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★支持图表和报表的方式直观统计产品结构中各种类型零部件的数量和占比信息。</w:t>
      </w:r>
    </w:p>
    <w:p>
      <w:pPr>
        <w:numPr>
          <w:ilvl w:val="0"/>
          <w:numId w:val="2"/>
        </w:numPr>
        <w:spacing w:line="360" w:lineRule="auto"/>
        <w:ind w:firstLine="480" w:firstLineChars="200"/>
        <w:rPr>
          <w:rFonts w:asciiTheme="minorEastAsia" w:hAnsiTheme="minorEastAsia" w:eastAsiaTheme="minorEastAsia"/>
          <w:b/>
          <w:sz w:val="24"/>
        </w:rPr>
      </w:pPr>
      <w:bookmarkStart w:id="21" w:name="_Toc90671909"/>
      <w:bookmarkStart w:id="22" w:name="_Toc75339751"/>
      <w:r>
        <w:rPr>
          <w:rFonts w:hint="eastAsia" w:asciiTheme="minorEastAsia" w:hAnsiTheme="minorEastAsia" w:eastAsiaTheme="minorEastAsia"/>
          <w:b/>
          <w:sz w:val="24"/>
        </w:rPr>
        <w:t>更改管理</w:t>
      </w:r>
      <w:bookmarkEnd w:id="21"/>
      <w:bookmarkEnd w:id="22"/>
    </w:p>
    <w:p>
      <w:pPr>
        <w:numPr>
          <w:ilvl w:val="0"/>
          <w:numId w:val="12"/>
        </w:numPr>
        <w:spacing w:line="360" w:lineRule="auto"/>
        <w:rPr>
          <w:rFonts w:asciiTheme="minorEastAsia" w:hAnsiTheme="minorEastAsia" w:eastAsiaTheme="minorEastAsia"/>
          <w:sz w:val="24"/>
        </w:rPr>
      </w:pPr>
      <w:bookmarkStart w:id="23" w:name="_Toc90671910"/>
      <w:bookmarkStart w:id="24" w:name="_Toc75339752"/>
      <w:r>
        <w:rPr>
          <w:rFonts w:hint="eastAsia" w:asciiTheme="minorEastAsia" w:hAnsiTheme="minorEastAsia" w:eastAsiaTheme="minorEastAsia"/>
          <w:sz w:val="24"/>
        </w:rPr>
        <w:t>支持从变更问题评估、变更申请、变更任务执行到变更通知数据释放全过程闭环</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的变更流程，控制产品设计数据，保证产品设计质量，为产品数据追溯提供依据。</w:t>
      </w:r>
    </w:p>
    <w:p>
      <w:pPr>
        <w:numPr>
          <w:ilvl w:val="0"/>
          <w:numId w:val="12"/>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支持企业级一体化的变更管理，完整地控制产品数据、工艺数据的一致性和有效</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性，建立电子化的工程更改流程，提高工程更改的效率，规范数据更改过程，进行更改影响性分析，保证数据更改的及时性、完整性和一致性。</w:t>
      </w:r>
    </w:p>
    <w:p>
      <w:pPr>
        <w:numPr>
          <w:ilvl w:val="0"/>
          <w:numId w:val="12"/>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★支持对变更对象的影响分析，自动识别其借用于哪些产品，提供变更决策辅助，</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帮助用户识别变更影响的范围。支持变更相关的或受影响的资料如输入输出文件、过程文件、记录文件等的关联关系设置，在查看变更内容时可以方便的查看到所有相关联的资料。</w:t>
      </w:r>
    </w:p>
    <w:p>
      <w:pPr>
        <w:numPr>
          <w:ilvl w:val="0"/>
          <w:numId w:val="12"/>
        </w:numPr>
        <w:spacing w:line="360" w:lineRule="auto"/>
        <w:rPr>
          <w:rFonts w:asciiTheme="minorEastAsia" w:hAnsiTheme="minorEastAsia" w:eastAsiaTheme="minorEastAsia"/>
          <w:sz w:val="24"/>
        </w:rPr>
      </w:pPr>
      <w:r>
        <w:rPr>
          <w:rFonts w:hint="eastAsia" w:asciiTheme="minorEastAsia" w:hAnsiTheme="minorEastAsia" w:eastAsiaTheme="minorEastAsia"/>
          <w:sz w:val="24"/>
        </w:rPr>
        <w:t>在执行变更时，能够将变更对象和受影响对象自动升版，记录最新版本。</w:t>
      </w:r>
    </w:p>
    <w:p>
      <w:pPr>
        <w:numPr>
          <w:ilvl w:val="0"/>
          <w:numId w:val="12"/>
        </w:numPr>
        <w:spacing w:line="360" w:lineRule="auto"/>
        <w:rPr>
          <w:rFonts w:asciiTheme="minorEastAsia" w:hAnsiTheme="minorEastAsia" w:eastAsiaTheme="minorEastAsia"/>
          <w:sz w:val="24"/>
        </w:rPr>
      </w:pPr>
      <w:r>
        <w:rPr>
          <w:rFonts w:hint="eastAsia" w:asciiTheme="minorEastAsia" w:hAnsiTheme="minorEastAsia" w:eastAsiaTheme="minorEastAsia"/>
          <w:sz w:val="24"/>
        </w:rPr>
        <w:t>支持变更全过程的监控，用户可对问题报告、变更的申请、审批、执行、变更通</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知和版本更改的发放等过程的查询和跟踪。更改时产生的相关数据，如更改原因、更改内容、每个审核者的意见、时间，都在流程中完整的记录下来，可随时查阅他人的审核意见，以供参考；系统能够记录每次版本变迁历史，自动生成变更时间线，以便将来追溯。</w:t>
      </w:r>
    </w:p>
    <w:p>
      <w:pPr>
        <w:numPr>
          <w:ilvl w:val="0"/>
          <w:numId w:val="12"/>
        </w:numPr>
        <w:spacing w:line="360" w:lineRule="auto"/>
        <w:rPr>
          <w:rFonts w:asciiTheme="minorEastAsia" w:hAnsiTheme="minorEastAsia" w:eastAsiaTheme="minorEastAsia"/>
          <w:sz w:val="24"/>
        </w:rPr>
      </w:pPr>
      <w:r>
        <w:rPr>
          <w:rFonts w:hint="eastAsia" w:asciiTheme="minorEastAsia" w:hAnsiTheme="minorEastAsia" w:eastAsiaTheme="minorEastAsia"/>
          <w:sz w:val="24"/>
        </w:rPr>
        <w:t>能够将变更原因、变更内容按照公司的变更通知单的模板输出，并以消息通知的</w:t>
      </w:r>
    </w:p>
    <w:p>
      <w:pPr>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形式通知相关人员。</w:t>
      </w:r>
    </w:p>
    <w:p>
      <w:pPr>
        <w:pStyle w:val="20"/>
        <w:numPr>
          <w:ilvl w:val="0"/>
          <w:numId w:val="12"/>
        </w:numPr>
        <w:spacing w:line="520" w:lineRule="exact"/>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能够按时间段统计问题、变更申请、变更通知的数量，方便用户分析变更的次数</w:t>
      </w:r>
    </w:p>
    <w:p>
      <w:pPr>
        <w:pStyle w:val="20"/>
        <w:numPr>
          <w:ilvl w:val="0"/>
          <w:numId w:val="0"/>
        </w:numPr>
        <w:spacing w:line="520" w:lineRule="exact"/>
        <w:rPr>
          <w:rFonts w:cs="宋体" w:asciiTheme="minorEastAsia" w:hAnsiTheme="minorEastAsia" w:eastAsiaTheme="minorEastAsia"/>
          <w:sz w:val="24"/>
        </w:rPr>
      </w:pPr>
      <w:r>
        <w:rPr>
          <w:rFonts w:hint="eastAsia" w:cs="宋体" w:asciiTheme="minorEastAsia" w:hAnsiTheme="minorEastAsia" w:eastAsiaTheme="minorEastAsia"/>
          <w:sz w:val="24"/>
        </w:rPr>
        <w:t>变化，逐步降低变更频率。</w:t>
      </w:r>
    </w:p>
    <w:p>
      <w:pPr>
        <w:pStyle w:val="20"/>
        <w:numPr>
          <w:ilvl w:val="0"/>
          <w:numId w:val="12"/>
        </w:numPr>
        <w:spacing w:line="520" w:lineRule="exact"/>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更改能够与</w:t>
      </w:r>
      <w:r>
        <w:rPr>
          <w:rFonts w:cs="宋体" w:asciiTheme="minorEastAsia" w:hAnsiTheme="minorEastAsia" w:eastAsiaTheme="minorEastAsia"/>
          <w:sz w:val="24"/>
        </w:rPr>
        <w:t>MES</w:t>
      </w:r>
      <w:r>
        <w:rPr>
          <w:rFonts w:hint="eastAsia" w:cs="宋体" w:asciiTheme="minorEastAsia" w:hAnsiTheme="minorEastAsia" w:eastAsiaTheme="minorEastAsia"/>
          <w:sz w:val="24"/>
        </w:rPr>
        <w:t>等系统集成，实现对在制品、库存物料等进行方便的更改处理。</w:t>
      </w:r>
    </w:p>
    <w:p>
      <w:pPr>
        <w:numPr>
          <w:ilvl w:val="0"/>
          <w:numId w:val="2"/>
        </w:num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工作流程管理</w:t>
      </w:r>
      <w:bookmarkEnd w:id="23"/>
      <w:bookmarkEnd w:id="24"/>
    </w:p>
    <w:p>
      <w:pPr>
        <w:pStyle w:val="20"/>
        <w:numPr>
          <w:ilvl w:val="0"/>
          <w:numId w:val="13"/>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支持工作流程模板图形化自定义配置，可指定流程管理员对流程模板进行调整维</w:t>
      </w:r>
    </w:p>
    <w:p>
      <w:pPr>
        <w:pStyle w:val="20"/>
        <w:numPr>
          <w:ilvl w:val="0"/>
          <w:numId w:val="0"/>
        </w:num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护。支持以图形化方式快速、方便的自定义电子审签流程模板，流程可支持支路并行、回退执行参数及预期审批时间等自定义配置。支持工作流程模板的分类管理、状态管理、版本管理和有效性管理。支持定义流程模板应用的数据类型范围，如可指定流程模板用于图文档审批或零组件类型审批等。</w:t>
      </w:r>
    </w:p>
    <w:p>
      <w:pPr>
        <w:pStyle w:val="20"/>
        <w:numPr>
          <w:ilvl w:val="0"/>
          <w:numId w:val="13"/>
        </w:numPr>
        <w:spacing w:line="360" w:lineRule="auto"/>
        <w:ind w:firstLineChars="0"/>
        <w:rPr>
          <w:rFonts w:cs="宋体" w:asciiTheme="minorEastAsia" w:hAnsiTheme="minorEastAsia" w:eastAsiaTheme="minorEastAsia"/>
          <w:sz w:val="24"/>
        </w:rPr>
      </w:pPr>
      <w:r>
        <w:rPr>
          <w:rFonts w:hint="eastAsia" w:asciiTheme="minorEastAsia" w:hAnsiTheme="minorEastAsia" w:eastAsiaTheme="minorEastAsia"/>
          <w:sz w:val="24"/>
        </w:rPr>
        <w:t>★</w:t>
      </w:r>
      <w:r>
        <w:rPr>
          <w:rFonts w:hint="eastAsia" w:cs="宋体" w:asciiTheme="minorEastAsia" w:hAnsiTheme="minorEastAsia" w:eastAsiaTheme="minorEastAsia"/>
          <w:sz w:val="24"/>
        </w:rPr>
        <w:t>支持流程嵌套管理。可在流程中嵌入流程分支，可通过条件判断控制流程分支</w:t>
      </w:r>
    </w:p>
    <w:p>
      <w:pPr>
        <w:pStyle w:val="20"/>
        <w:numPr>
          <w:ilvl w:val="0"/>
          <w:numId w:val="0"/>
        </w:num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走向。</w:t>
      </w:r>
    </w:p>
    <w:p>
      <w:pPr>
        <w:pStyle w:val="20"/>
        <w:numPr>
          <w:ilvl w:val="0"/>
          <w:numId w:val="13"/>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支持流程模板中预定义每个步骤的执行人员或角色，同时支持有权限的用户在流</w:t>
      </w:r>
    </w:p>
    <w:p>
      <w:pPr>
        <w:pStyle w:val="20"/>
        <w:numPr>
          <w:ilvl w:val="0"/>
          <w:numId w:val="0"/>
        </w:num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程执行过程中增加步骤执行人员或角色。</w:t>
      </w:r>
    </w:p>
    <w:p>
      <w:pPr>
        <w:pStyle w:val="20"/>
        <w:numPr>
          <w:ilvl w:val="0"/>
          <w:numId w:val="13"/>
        </w:numPr>
        <w:spacing w:line="360" w:lineRule="auto"/>
        <w:ind w:firstLineChars="0"/>
        <w:rPr>
          <w:rFonts w:hint="eastAsia" w:cs="宋体" w:asciiTheme="minorEastAsia" w:hAnsiTheme="minorEastAsia" w:eastAsiaTheme="minorEastAsia"/>
          <w:sz w:val="24"/>
        </w:rPr>
      </w:pPr>
      <w:r>
        <w:rPr>
          <w:rFonts w:hint="eastAsia" w:cs="宋体" w:asciiTheme="minorEastAsia" w:hAnsiTheme="minorEastAsia" w:eastAsiaTheme="minorEastAsia"/>
          <w:sz w:val="24"/>
        </w:rPr>
        <w:t>★支持在流程模板中或流程发起时定义和配置流程对象（包含文档附件、零组件、</w:t>
      </w:r>
    </w:p>
    <w:p>
      <w:pPr>
        <w:pStyle w:val="20"/>
        <w:numPr>
          <w:ilvl w:val="0"/>
          <w:numId w:val="0"/>
        </w:numPr>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变更对象等）的归档位置，流程结束后，实现自动归档。</w:t>
      </w:r>
    </w:p>
    <w:p>
      <w:pPr>
        <w:pStyle w:val="20"/>
        <w:numPr>
          <w:ilvl w:val="0"/>
          <w:numId w:val="13"/>
        </w:numPr>
        <w:spacing w:line="360" w:lineRule="auto"/>
        <w:ind w:firstLineChars="0"/>
        <w:rPr>
          <w:rFonts w:cs="宋体" w:asciiTheme="minorEastAsia" w:hAnsiTheme="minorEastAsia" w:eastAsiaTheme="minorEastAsia"/>
          <w:sz w:val="24"/>
        </w:rPr>
      </w:pPr>
      <w:r>
        <w:rPr>
          <w:rFonts w:hint="eastAsia" w:asciiTheme="minorEastAsia" w:hAnsiTheme="minorEastAsia" w:eastAsiaTheme="minorEastAsia"/>
          <w:sz w:val="24"/>
        </w:rPr>
        <w:t>★</w:t>
      </w:r>
      <w:r>
        <w:rPr>
          <w:rFonts w:hint="eastAsia" w:cs="宋体" w:asciiTheme="minorEastAsia" w:hAnsiTheme="minorEastAsia" w:eastAsiaTheme="minorEastAsia"/>
          <w:sz w:val="24"/>
        </w:rPr>
        <w:t>支持工作流审批信息提醒，可根据工作流程的进展情况，可以向有关人员发送</w:t>
      </w:r>
    </w:p>
    <w:p>
      <w:pPr>
        <w:pStyle w:val="20"/>
        <w:numPr>
          <w:ilvl w:val="0"/>
          <w:numId w:val="0"/>
        </w:num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工作流审批消息。支持流程模板中配置每个步骤的预警提醒时间，实现流程到期前及时通知用户处理。支持在流程模板中配置每个步骤的逾期时间及其自动处理方式，例如到预期时间没有执行，系统自动退回流程或自动提交流程。</w:t>
      </w:r>
    </w:p>
    <w:p>
      <w:pPr>
        <w:pStyle w:val="20"/>
        <w:numPr>
          <w:ilvl w:val="0"/>
          <w:numId w:val="13"/>
        </w:numPr>
        <w:spacing w:line="360" w:lineRule="auto"/>
        <w:ind w:firstLineChars="0"/>
        <w:rPr>
          <w:rFonts w:cs="宋体" w:asciiTheme="minorEastAsia" w:hAnsiTheme="minorEastAsia" w:eastAsiaTheme="minorEastAsia"/>
          <w:sz w:val="24"/>
        </w:rPr>
      </w:pPr>
      <w:r>
        <w:rPr>
          <w:rFonts w:hint="eastAsia" w:asciiTheme="minorEastAsia" w:hAnsiTheme="minorEastAsia" w:eastAsiaTheme="minorEastAsia"/>
          <w:sz w:val="24"/>
        </w:rPr>
        <w:t>★</w:t>
      </w:r>
      <w:r>
        <w:rPr>
          <w:rFonts w:hint="eastAsia" w:cs="宋体" w:asciiTheme="minorEastAsia" w:hAnsiTheme="minorEastAsia" w:eastAsiaTheme="minorEastAsia"/>
          <w:sz w:val="24"/>
        </w:rPr>
        <w:t>系统可以自动记录流程模板的操作日志，能够查看工作流程模板操作历史。</w:t>
      </w:r>
    </w:p>
    <w:p>
      <w:pPr>
        <w:pStyle w:val="20"/>
        <w:numPr>
          <w:ilvl w:val="0"/>
          <w:numId w:val="13"/>
        </w:numPr>
        <w:spacing w:line="360" w:lineRule="auto"/>
        <w:ind w:firstLineChars="0"/>
        <w:rPr>
          <w:rFonts w:cs="宋体" w:asciiTheme="minorEastAsia" w:hAnsiTheme="minorEastAsia" w:eastAsiaTheme="minorEastAsia"/>
          <w:sz w:val="24"/>
        </w:rPr>
      </w:pPr>
      <w:r>
        <w:rPr>
          <w:rFonts w:hint="eastAsia" w:asciiTheme="minorEastAsia" w:hAnsiTheme="minorEastAsia" w:eastAsiaTheme="minorEastAsia"/>
          <w:sz w:val="24"/>
        </w:rPr>
        <w:t>★</w:t>
      </w:r>
      <w:r>
        <w:rPr>
          <w:rFonts w:hint="eastAsia" w:cs="宋体" w:asciiTheme="minorEastAsia" w:hAnsiTheme="minorEastAsia" w:eastAsiaTheme="minorEastAsia"/>
          <w:sz w:val="24"/>
        </w:rPr>
        <w:t>支持在流程模板中配置自动添加水印，自动转生命周期、自动转阶段、个性电</w:t>
      </w:r>
    </w:p>
    <w:p>
      <w:pPr>
        <w:pStyle w:val="20"/>
        <w:numPr>
          <w:ilvl w:val="0"/>
          <w:numId w:val="0"/>
        </w:num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子签名等。</w:t>
      </w:r>
    </w:p>
    <w:p>
      <w:pPr>
        <w:pStyle w:val="20"/>
        <w:numPr>
          <w:ilvl w:val="0"/>
          <w:numId w:val="13"/>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支持在流程模板中定义每个步骤对流程对象（包含文档附件、零组件、变更对象</w:t>
      </w:r>
    </w:p>
    <w:p>
      <w:pPr>
        <w:pStyle w:val="20"/>
        <w:numPr>
          <w:ilvl w:val="0"/>
          <w:numId w:val="0"/>
        </w:num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等）的浏览、编辑下载权限。</w:t>
      </w:r>
    </w:p>
    <w:p>
      <w:pPr>
        <w:pStyle w:val="20"/>
        <w:numPr>
          <w:ilvl w:val="0"/>
          <w:numId w:val="13"/>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能够对项目任务中的数据对象建立流程，能够对流程中各节点的有关人员分配工</w:t>
      </w:r>
    </w:p>
    <w:p>
      <w:pPr>
        <w:pStyle w:val="20"/>
        <w:numPr>
          <w:ilvl w:val="0"/>
          <w:numId w:val="0"/>
        </w:num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作任务，并能记录每个任务的执行信息。</w:t>
      </w:r>
    </w:p>
    <w:p>
      <w:pPr>
        <w:pStyle w:val="20"/>
        <w:numPr>
          <w:ilvl w:val="0"/>
          <w:numId w:val="13"/>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支持在流程执行过程中将任务转交给其他用户。支持流程代理的自定义，在原设</w:t>
      </w:r>
    </w:p>
    <w:p>
      <w:pPr>
        <w:pStyle w:val="20"/>
        <w:numPr>
          <w:ilvl w:val="0"/>
          <w:numId w:val="0"/>
        </w:num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定人出差或请假时，能够自动将审批人流程任务转交给代理人，转交时能够设定转交的期限，到期后转交自动收回。</w:t>
      </w:r>
    </w:p>
    <w:p>
      <w:pPr>
        <w:pStyle w:val="20"/>
        <w:numPr>
          <w:ilvl w:val="0"/>
          <w:numId w:val="13"/>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能够方便的对流程任务进行追踪，随时查看任务的执行情况，支持流程任务跟踪、</w:t>
      </w:r>
    </w:p>
    <w:p>
      <w:pPr>
        <w:pStyle w:val="20"/>
        <w:numPr>
          <w:ilvl w:val="0"/>
          <w:numId w:val="0"/>
        </w:num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流程执行记录、流程模板的信息查看，同时支持在线审批。</w:t>
      </w:r>
    </w:p>
    <w:p>
      <w:pPr>
        <w:pStyle w:val="20"/>
        <w:numPr>
          <w:ilvl w:val="0"/>
          <w:numId w:val="13"/>
        </w:numPr>
        <w:spacing w:line="360" w:lineRule="auto"/>
        <w:ind w:firstLineChars="0"/>
        <w:rPr>
          <w:rFonts w:cs="宋体" w:asciiTheme="minorEastAsia" w:hAnsiTheme="minorEastAsia" w:eastAsiaTheme="minorEastAsia"/>
          <w:sz w:val="24"/>
        </w:rPr>
      </w:pPr>
      <w:r>
        <w:rPr>
          <w:rFonts w:hint="eastAsia" w:cs="宋体" w:asciiTheme="minorEastAsia" w:hAnsiTheme="minorEastAsia" w:eastAsiaTheme="minorEastAsia"/>
          <w:sz w:val="24"/>
        </w:rPr>
        <w:t>支持对图文档数据的电子签名，在流程审批完成后，实现对二维图纸、工艺文件</w:t>
      </w:r>
    </w:p>
    <w:p>
      <w:pPr>
        <w:pStyle w:val="20"/>
        <w:numPr>
          <w:ilvl w:val="0"/>
          <w:numId w:val="0"/>
        </w:num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的电子签名。</w:t>
      </w:r>
    </w:p>
    <w:p>
      <w:pPr>
        <w:numPr>
          <w:ilvl w:val="0"/>
          <w:numId w:val="2"/>
        </w:num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工艺规划和设计</w:t>
      </w:r>
    </w:p>
    <w:p>
      <w:pPr>
        <w:pStyle w:val="10"/>
        <w:rPr>
          <w:rFonts w:asciiTheme="minorEastAsia" w:hAnsiTheme="minorEastAsia" w:eastAsiaTheme="minorEastAsia"/>
          <w:sz w:val="24"/>
        </w:rPr>
      </w:pPr>
      <w:bookmarkStart w:id="25" w:name="_Toc90671915"/>
      <w:bookmarkStart w:id="26" w:name="_Toc90671912"/>
      <w:bookmarkStart w:id="27" w:name="_Toc75339755"/>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.1</w:t>
      </w:r>
      <w:r>
        <w:rPr>
          <w:rFonts w:hint="eastAsia" w:cs="宋体" w:asciiTheme="minorEastAsia" w:hAnsiTheme="minorEastAsia" w:eastAsiaTheme="minorEastAsia"/>
          <w:sz w:val="24"/>
        </w:rPr>
        <w:t>工艺</w:t>
      </w:r>
      <w:r>
        <w:rPr>
          <w:rFonts w:hint="eastAsia" w:asciiTheme="minorEastAsia" w:hAnsiTheme="minorEastAsia" w:eastAsiaTheme="minorEastAsia"/>
          <w:sz w:val="24"/>
        </w:rPr>
        <w:t>BOM</w:t>
      </w:r>
      <w:r>
        <w:rPr>
          <w:rFonts w:hint="eastAsia" w:cs="宋体" w:asciiTheme="minorEastAsia" w:hAnsiTheme="minorEastAsia" w:eastAsiaTheme="minorEastAsia"/>
          <w:sz w:val="24"/>
        </w:rPr>
        <w:t>管理</w:t>
      </w:r>
      <w:bookmarkEnd w:id="25"/>
    </w:p>
    <w:p>
      <w:pPr>
        <w:numPr>
          <w:ilvl w:val="0"/>
          <w:numId w:val="14"/>
        </w:numPr>
        <w:spacing w:line="360" w:lineRule="auto"/>
        <w:jc w:val="left"/>
        <w:rPr>
          <w:rFonts w:asciiTheme="minorEastAsia" w:hAnsiTheme="minorEastAsia" w:eastAsiaTheme="minorEastAsia"/>
          <w:sz w:val="24"/>
        </w:rPr>
      </w:pPr>
      <w:bookmarkStart w:id="28" w:name="_Toc90671916"/>
      <w:r>
        <w:rPr>
          <w:rFonts w:hint="eastAsia" w:asciiTheme="minorEastAsia" w:hAnsiTheme="minorEastAsia" w:eastAsiaTheme="minorEastAsia"/>
          <w:sz w:val="24"/>
        </w:rPr>
        <w:t>支持根据发布的EBOM，一键转换成工艺BOM，开始进行工艺过程规划；</w:t>
      </w:r>
    </w:p>
    <w:p>
      <w:pPr>
        <w:numPr>
          <w:ilvl w:val="0"/>
          <w:numId w:val="14"/>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具有灵活、方便的工艺结构调整功能，能够通过查找、复制、批量编辑等方式，</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进行零部件顺序调整、添加毛坯件、虚拟件、辅料、物料、借用件等操作。</w:t>
      </w:r>
    </w:p>
    <w:p>
      <w:pPr>
        <w:numPr>
          <w:ilvl w:val="0"/>
          <w:numId w:val="14"/>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支持通过零组件的编号、名称信息模糊查询，在工艺B</w:t>
      </w:r>
      <w:r>
        <w:rPr>
          <w:rFonts w:asciiTheme="minorEastAsia" w:hAnsiTheme="minorEastAsia" w:eastAsiaTheme="minorEastAsia"/>
          <w:sz w:val="24"/>
        </w:rPr>
        <w:t>OM</w:t>
      </w:r>
      <w:r>
        <w:rPr>
          <w:rFonts w:hint="eastAsia" w:asciiTheme="minorEastAsia" w:hAnsiTheme="minorEastAsia" w:eastAsiaTheme="minorEastAsia"/>
          <w:sz w:val="24"/>
        </w:rPr>
        <w:t>上快速查询定位零组件</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位置。系统支持产品结构多层树形层层展开，可进行单级、多级BOM正向、逆向汇总，也可进行多视图分类，按照自制、外协、标准等分类特性进行汇总，汇总明细表可定义为指定EXCEL格式导出。</w:t>
      </w:r>
    </w:p>
    <w:p>
      <w:pPr>
        <w:numPr>
          <w:ilvl w:val="0"/>
          <w:numId w:val="14"/>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★支持工艺B</w:t>
      </w:r>
      <w:r>
        <w:rPr>
          <w:rFonts w:asciiTheme="minorEastAsia" w:hAnsiTheme="minorEastAsia" w:eastAsiaTheme="minorEastAsia"/>
          <w:sz w:val="24"/>
        </w:rPr>
        <w:t>OM</w:t>
      </w:r>
      <w:r>
        <w:rPr>
          <w:rFonts w:hint="eastAsia" w:asciiTheme="minorEastAsia" w:hAnsiTheme="minorEastAsia" w:eastAsiaTheme="minorEastAsia"/>
          <w:sz w:val="24"/>
        </w:rPr>
        <w:t>的操作日志管理。</w:t>
      </w:r>
    </w:p>
    <w:p>
      <w:pPr>
        <w:numPr>
          <w:ilvl w:val="0"/>
          <w:numId w:val="14"/>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支持工艺</w:t>
      </w:r>
      <w:r>
        <w:rPr>
          <w:rFonts w:asciiTheme="minorEastAsia" w:hAnsiTheme="minorEastAsia" w:eastAsiaTheme="minorEastAsia"/>
          <w:sz w:val="24"/>
        </w:rPr>
        <w:t>BOM</w:t>
      </w:r>
      <w:r>
        <w:rPr>
          <w:rFonts w:hint="eastAsia" w:asciiTheme="minorEastAsia" w:hAnsiTheme="minorEastAsia" w:eastAsiaTheme="minorEastAsia"/>
          <w:sz w:val="24"/>
        </w:rPr>
        <w:t>多视图管理，实现按照不同工艺路线搭建不同的工艺B</w:t>
      </w:r>
      <w:r>
        <w:rPr>
          <w:rFonts w:asciiTheme="minorEastAsia" w:hAnsiTheme="minorEastAsia" w:eastAsiaTheme="minorEastAsia"/>
          <w:sz w:val="24"/>
        </w:rPr>
        <w:t>OM</w:t>
      </w:r>
      <w:r>
        <w:rPr>
          <w:rFonts w:hint="eastAsia" w:asciiTheme="minorEastAsia" w:hAnsiTheme="minorEastAsia" w:eastAsiaTheme="minorEastAsia"/>
          <w:sz w:val="24"/>
        </w:rPr>
        <w:t>形态。</w:t>
      </w:r>
    </w:p>
    <w:p>
      <w:pPr>
        <w:numPr>
          <w:ilvl w:val="0"/>
          <w:numId w:val="14"/>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★支持产品结构差异分析功能，支持不同产品间的产品结构差异分析、不同版本</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间的产品结构差异分析，并能够导出差异分析结果；</w:t>
      </w:r>
    </w:p>
    <w:p>
      <w:pPr>
        <w:numPr>
          <w:ilvl w:val="0"/>
          <w:numId w:val="14"/>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支持工艺BOM的版本管理。</w:t>
      </w:r>
    </w:p>
    <w:p>
      <w:pPr>
        <w:numPr>
          <w:ilvl w:val="0"/>
          <w:numId w:val="14"/>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支持在</w:t>
      </w:r>
      <w:r>
        <w:rPr>
          <w:rFonts w:hint="eastAsia" w:asciiTheme="minorEastAsia" w:hAnsiTheme="minorEastAsia" w:eastAsiaTheme="minorEastAsia"/>
          <w:sz w:val="24"/>
        </w:rPr>
        <w:t>工艺B</w:t>
      </w:r>
      <w:r>
        <w:rPr>
          <w:rFonts w:asciiTheme="minorEastAsia" w:hAnsiTheme="minorEastAsia" w:eastAsiaTheme="minorEastAsia"/>
          <w:sz w:val="24"/>
        </w:rPr>
        <w:t>OM中添加材料</w:t>
      </w:r>
      <w:r>
        <w:rPr>
          <w:rFonts w:hint="eastAsia" w:asciiTheme="minorEastAsia" w:hAnsiTheme="minorEastAsia" w:eastAsiaTheme="minorEastAsia"/>
          <w:sz w:val="24"/>
        </w:rPr>
        <w:t>/辅料，支持建立材料/辅料库，支持从材料/辅料库</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中进行选择。</w:t>
      </w:r>
    </w:p>
    <w:p>
      <w:pPr>
        <w:pStyle w:val="10"/>
        <w:rPr>
          <w:rFonts w:asciiTheme="minorEastAsia" w:hAnsiTheme="minorEastAsia" w:eastAsiaTheme="minorEastAsia"/>
          <w:sz w:val="24"/>
        </w:rPr>
      </w:pP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.2工艺路线管理</w:t>
      </w:r>
      <w:bookmarkEnd w:id="28"/>
    </w:p>
    <w:p>
      <w:pPr>
        <w:numPr>
          <w:ilvl w:val="0"/>
          <w:numId w:val="15"/>
        </w:numPr>
        <w:spacing w:line="360" w:lineRule="auto"/>
        <w:jc w:val="left"/>
        <w:rPr>
          <w:rFonts w:asciiTheme="minorEastAsia" w:hAnsiTheme="minorEastAsia" w:eastAsiaTheme="minorEastAsia"/>
          <w:sz w:val="24"/>
        </w:rPr>
      </w:pPr>
      <w:bookmarkStart w:id="29" w:name="_Toc90671917"/>
      <w:r>
        <w:rPr>
          <w:rFonts w:hint="eastAsia" w:asciiTheme="minorEastAsia" w:hAnsiTheme="minorEastAsia" w:eastAsiaTheme="minorEastAsia"/>
          <w:sz w:val="24"/>
        </w:rPr>
        <w:t>系统提供工艺路线的设计环境，并可以检索和引用已有的工艺路线；</w:t>
      </w:r>
    </w:p>
    <w:p>
      <w:pPr>
        <w:numPr>
          <w:ilvl w:val="0"/>
          <w:numId w:val="15"/>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★系统提供工艺路线库管理功能，用户可以维护工艺路线单元，标准化工艺路线</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名称和简写名称，提高设计工艺路线的准确性和一致性。工艺人员在设计工艺路线时，可以调用典型工艺路线和引用已有工艺路线进行填写，提高工艺路线设计效率；</w:t>
      </w:r>
    </w:p>
    <w:p>
      <w:pPr>
        <w:numPr>
          <w:ilvl w:val="0"/>
          <w:numId w:val="15"/>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★支持多工艺路线管理，支持刷新、新建、编辑、删除等操作。可以按照典型工</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艺路线引用、工艺路线单元组合的方式创建工艺路线。支持定义工艺路线适用产品、查询上级编号、初始化等功能。</w:t>
      </w:r>
    </w:p>
    <w:p>
      <w:pPr>
        <w:numPr>
          <w:ilvl w:val="0"/>
          <w:numId w:val="15"/>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★系统能够对工艺路线的完整性检查，对于没有编制工艺路线的零部件，进行筛</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选和提醒；</w:t>
      </w:r>
    </w:p>
    <w:p>
      <w:pPr>
        <w:numPr>
          <w:ilvl w:val="0"/>
          <w:numId w:val="15"/>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系统提供工艺路线查询和汇总功能，进行各种形式的工艺路线汇总，并能够将汇</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总结果导出成EXCEL格式文件。</w:t>
      </w:r>
    </w:p>
    <w:p>
      <w:pPr>
        <w:pStyle w:val="10"/>
        <w:rPr>
          <w:rFonts w:asciiTheme="minorEastAsia" w:hAnsiTheme="minorEastAsia" w:eastAsiaTheme="minorEastAsia"/>
          <w:sz w:val="24"/>
        </w:rPr>
      </w:pP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.3工艺资源管理</w:t>
      </w:r>
      <w:bookmarkEnd w:id="29"/>
    </w:p>
    <w:p>
      <w:pPr>
        <w:pStyle w:val="20"/>
        <w:numPr>
          <w:ilvl w:val="0"/>
          <w:numId w:val="16"/>
        </w:numPr>
        <w:adjustRightInd w:val="0"/>
        <w:spacing w:line="360" w:lineRule="auto"/>
        <w:ind w:firstLineChars="0"/>
        <w:rPr>
          <w:rFonts w:asciiTheme="minorEastAsia" w:hAnsiTheme="minorEastAsia" w:eastAsiaTheme="minorEastAsia"/>
          <w:sz w:val="24"/>
        </w:rPr>
      </w:pPr>
      <w:bookmarkStart w:id="30" w:name="_Toc90671918"/>
      <w:r>
        <w:rPr>
          <w:rFonts w:hint="eastAsia" w:asciiTheme="minorEastAsia" w:hAnsiTheme="minorEastAsia" w:eastAsiaTheme="minorEastAsia"/>
          <w:sz w:val="24"/>
        </w:rPr>
        <w:t>系统提供公式管理功能，工艺人员可在系统中创建和管理各种复杂计算公式，工艺</w:t>
      </w:r>
    </w:p>
    <w:p>
      <w:pPr>
        <w:pStyle w:val="20"/>
        <w:numPr>
          <w:ilvl w:val="0"/>
          <w:numId w:val="0"/>
        </w:numPr>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人员在编制工艺卡片时，可以引用这些公式进行计算。同时，工艺卡片中也可以设定计算方法和公式，自动计算工时定额、材料定额等。</w:t>
      </w:r>
    </w:p>
    <w:p>
      <w:pPr>
        <w:pStyle w:val="20"/>
        <w:numPr>
          <w:ilvl w:val="0"/>
          <w:numId w:val="16"/>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系统支持统一和结构化管理基础工艺资源库（工艺术语、标准工装库、机床库、</w:t>
      </w:r>
    </w:p>
    <w:p>
      <w:pPr>
        <w:pStyle w:val="20"/>
        <w:numPr>
          <w:ilvl w:val="0"/>
          <w:numId w:val="0"/>
        </w:numPr>
        <w:spacing w:line="360" w:lineRule="auto"/>
        <w:rPr>
          <w:rFonts w:asciiTheme="minorEastAsia" w:hAnsiTheme="minorEastAsia" w:eastAsiaTheme="minorEastAsia"/>
          <w:sz w:val="24"/>
        </w:rPr>
      </w:pPr>
      <w:r>
        <w:rPr>
          <w:rFonts w:hint="eastAsia" w:asciiTheme="minorEastAsia" w:hAnsiTheme="minorEastAsia" w:eastAsiaTheme="minorEastAsia"/>
          <w:sz w:val="24"/>
        </w:rPr>
        <w:t>设备库、材料库、刀具库、量具库、检具库、辅具库等），用户可进行整理与管理（更改、查询、输入），工艺人员可以再编制工艺卡片时，方便的引用这些资源信息；</w:t>
      </w:r>
      <w:r>
        <w:rPr>
          <w:rFonts w:hint="eastAsia" w:asciiTheme="minorEastAsia" w:hAnsiTheme="minorEastAsia" w:eastAsiaTheme="minorEastAsia"/>
          <w:color w:val="000000"/>
          <w:sz w:val="24"/>
        </w:rPr>
        <w:t>可通过手工输入和</w:t>
      </w:r>
      <w:r>
        <w:rPr>
          <w:rFonts w:asciiTheme="minorEastAsia" w:hAnsiTheme="minorEastAsia" w:eastAsiaTheme="minorEastAsia"/>
          <w:color w:val="000000"/>
          <w:sz w:val="24"/>
        </w:rPr>
        <w:t>Excel</w:t>
      </w:r>
      <w:r>
        <w:rPr>
          <w:rFonts w:hint="eastAsia" w:asciiTheme="minorEastAsia" w:hAnsiTheme="minorEastAsia" w:eastAsiaTheme="minorEastAsia"/>
          <w:color w:val="000000"/>
          <w:sz w:val="24"/>
        </w:rPr>
        <w:t>导入方式快速形成工艺资源库，实现工艺资源的快速建立。</w:t>
      </w:r>
    </w:p>
    <w:p>
      <w:pPr>
        <w:pStyle w:val="20"/>
        <w:numPr>
          <w:ilvl w:val="0"/>
          <w:numId w:val="16"/>
        </w:numPr>
        <w:spacing w:line="360" w:lineRule="auto"/>
        <w:ind w:firstLineChars="0"/>
        <w:rPr>
          <w:rFonts w:asciiTheme="minorEastAsia" w:hAnsiTheme="minorEastAsia" w:eastAsiaTheme="minorEastAsia"/>
          <w:color w:val="000000"/>
          <w:sz w:val="24"/>
        </w:rPr>
      </w:pPr>
      <w:r>
        <w:rPr>
          <w:rFonts w:asciiTheme="minorEastAsia" w:hAnsiTheme="minorEastAsia" w:eastAsiaTheme="minorEastAsia"/>
          <w:color w:val="000000"/>
          <w:sz w:val="24"/>
        </w:rPr>
        <w:t>支持工艺知识</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经验管理</w:t>
      </w:r>
      <w:r>
        <w:rPr>
          <w:rFonts w:hint="eastAsia" w:asciiTheme="minorEastAsia" w:hAnsiTheme="minorEastAsia" w:eastAsiaTheme="minorEastAsia"/>
          <w:color w:val="000000"/>
          <w:sz w:val="24"/>
        </w:rPr>
        <w:t>（如标准的工艺流程、PFMEA、控制计划知识等），支持</w:t>
      </w:r>
    </w:p>
    <w:p>
      <w:pPr>
        <w:pStyle w:val="20"/>
        <w:numPr>
          <w:ilvl w:val="0"/>
          <w:numId w:val="0"/>
        </w:num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各种工艺知识、经验</w:t>
      </w:r>
      <w:r>
        <w:rPr>
          <w:rFonts w:asciiTheme="minorEastAsia" w:hAnsiTheme="minorEastAsia" w:eastAsiaTheme="minorEastAsia"/>
          <w:color w:val="000000"/>
          <w:sz w:val="24"/>
        </w:rPr>
        <w:t>由用户进行属性配置</w:t>
      </w:r>
      <w:r>
        <w:rPr>
          <w:rFonts w:hint="eastAsia" w:asciiTheme="minorEastAsia" w:hAnsiTheme="minorEastAsia" w:eastAsiaTheme="minorEastAsia"/>
          <w:color w:val="000000"/>
          <w:sz w:val="24"/>
        </w:rPr>
        <w:t>。</w:t>
      </w:r>
    </w:p>
    <w:p>
      <w:pPr>
        <w:pStyle w:val="20"/>
        <w:numPr>
          <w:ilvl w:val="0"/>
          <w:numId w:val="16"/>
        </w:numPr>
        <w:spacing w:line="360" w:lineRule="auto"/>
        <w:ind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用户编辑工艺卡片时，支持从工艺资源库中进行关联选取和引用。</w:t>
      </w:r>
    </w:p>
    <w:p>
      <w:pPr>
        <w:pStyle w:val="10"/>
        <w:rPr>
          <w:rFonts w:asciiTheme="minorEastAsia" w:hAnsiTheme="minorEastAsia" w:eastAsiaTheme="minorEastAsia"/>
          <w:sz w:val="24"/>
        </w:rPr>
      </w:pP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.4工艺卡片模板管理</w:t>
      </w:r>
      <w:bookmarkEnd w:id="30"/>
    </w:p>
    <w:p>
      <w:pPr>
        <w:numPr>
          <w:ilvl w:val="0"/>
          <w:numId w:val="17"/>
        </w:numPr>
        <w:spacing w:line="360" w:lineRule="auto"/>
        <w:jc w:val="left"/>
        <w:rPr>
          <w:rFonts w:asciiTheme="minorEastAsia" w:hAnsiTheme="minorEastAsia" w:eastAsiaTheme="minorEastAsia"/>
          <w:sz w:val="24"/>
        </w:rPr>
      </w:pPr>
      <w:bookmarkStart w:id="31" w:name="_Toc90671919"/>
      <w:r>
        <w:rPr>
          <w:rFonts w:hint="eastAsia" w:asciiTheme="minorEastAsia" w:hAnsiTheme="minorEastAsia" w:eastAsiaTheme="minorEastAsia"/>
          <w:sz w:val="24"/>
        </w:rPr>
        <w:t>系统提供Excel风格的工艺卡片编制环境，用户可以方便的绘制卡片样式，</w:t>
      </w:r>
      <w:r>
        <w:rPr>
          <w:rFonts w:asciiTheme="minorEastAsia" w:hAnsiTheme="minorEastAsia" w:eastAsiaTheme="minorEastAsia"/>
          <w:sz w:val="24"/>
        </w:rPr>
        <w:t>进行</w:t>
      </w:r>
    </w:p>
    <w:p>
      <w:pPr>
        <w:numPr>
          <w:ilvl w:val="0"/>
          <w:numId w:val="0"/>
        </w:numPr>
        <w:spacing w:line="360" w:lineRule="auto"/>
        <w:jc w:val="left"/>
        <w:rPr>
          <w:rFonts w:asciiTheme="minorEastAsia" w:hAnsiTheme="minorEastAsia" w:eastAsiaTheme="minorEastAsia"/>
          <w:sz w:val="24"/>
        </w:rPr>
      </w:pPr>
      <w:r>
        <w:rPr>
          <w:rFonts w:asciiTheme="minorEastAsia" w:hAnsiTheme="minorEastAsia" w:eastAsiaTheme="minorEastAsia"/>
          <w:sz w:val="24"/>
        </w:rPr>
        <w:t>表格的拆分与合并，线条的擦除，以及边框的粗细设置等</w:t>
      </w:r>
      <w:r>
        <w:rPr>
          <w:rFonts w:hint="eastAsia" w:asciiTheme="minorEastAsia" w:hAnsiTheme="minorEastAsia" w:eastAsiaTheme="minorEastAsia"/>
          <w:sz w:val="24"/>
        </w:rPr>
        <w:t>，与后台数据库相应字段进行关联配置；</w:t>
      </w:r>
    </w:p>
    <w:p>
      <w:pPr>
        <w:numPr>
          <w:ilvl w:val="0"/>
          <w:numId w:val="17"/>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★卡片模板支持添加工艺附图区，支持插入图片、dwg图纸等格式的工艺附图；</w:t>
      </w:r>
    </w:p>
    <w:p>
      <w:pPr>
        <w:numPr>
          <w:ilvl w:val="0"/>
          <w:numId w:val="17"/>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支持已有卡片模板复用。可复制已有模板，调整后形成新的卡片模板格式；</w:t>
      </w:r>
    </w:p>
    <w:p>
      <w:pPr>
        <w:numPr>
          <w:ilvl w:val="0"/>
          <w:numId w:val="17"/>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卡片</w:t>
      </w:r>
      <w:r>
        <w:rPr>
          <w:rFonts w:asciiTheme="minorEastAsia" w:hAnsiTheme="minorEastAsia" w:eastAsiaTheme="minorEastAsia"/>
          <w:sz w:val="24"/>
        </w:rPr>
        <w:t>模板支持Excel文件的导入，能够快速将已有的Excel</w:t>
      </w:r>
      <w:r>
        <w:rPr>
          <w:rFonts w:hint="eastAsia" w:asciiTheme="minorEastAsia" w:hAnsiTheme="minorEastAsia" w:eastAsiaTheme="minorEastAsia"/>
          <w:sz w:val="24"/>
        </w:rPr>
        <w:t>格式</w:t>
      </w:r>
      <w:r>
        <w:rPr>
          <w:rFonts w:asciiTheme="minorEastAsia" w:hAnsiTheme="minorEastAsia" w:eastAsiaTheme="minorEastAsia"/>
          <w:sz w:val="24"/>
        </w:rPr>
        <w:t>工艺文件模板导</w:t>
      </w:r>
    </w:p>
    <w:p>
      <w:pPr>
        <w:numPr>
          <w:ilvl w:val="0"/>
          <w:numId w:val="0"/>
        </w:numPr>
        <w:spacing w:line="360" w:lineRule="auto"/>
        <w:jc w:val="left"/>
        <w:rPr>
          <w:rFonts w:asciiTheme="minorEastAsia" w:hAnsiTheme="minorEastAsia" w:eastAsiaTheme="minorEastAsia"/>
          <w:sz w:val="24"/>
        </w:rPr>
      </w:pPr>
      <w:r>
        <w:rPr>
          <w:rFonts w:asciiTheme="minorEastAsia" w:hAnsiTheme="minorEastAsia" w:eastAsiaTheme="minorEastAsia"/>
          <w:sz w:val="24"/>
        </w:rPr>
        <w:t>入系统，在此基础上进行修改、</w:t>
      </w:r>
      <w:r>
        <w:rPr>
          <w:rFonts w:hint="eastAsia" w:asciiTheme="minorEastAsia" w:hAnsiTheme="minorEastAsia" w:eastAsiaTheme="minorEastAsia"/>
          <w:sz w:val="24"/>
        </w:rPr>
        <w:t>配置和</w:t>
      </w:r>
      <w:r>
        <w:rPr>
          <w:rFonts w:asciiTheme="minorEastAsia" w:hAnsiTheme="minorEastAsia" w:eastAsiaTheme="minorEastAsia"/>
          <w:sz w:val="24"/>
        </w:rPr>
        <w:t>保存</w:t>
      </w:r>
      <w:r>
        <w:rPr>
          <w:rFonts w:hint="eastAsia" w:asciiTheme="minorEastAsia" w:hAnsiTheme="minorEastAsia" w:eastAsiaTheme="minorEastAsia"/>
          <w:sz w:val="24"/>
        </w:rPr>
        <w:t>。</w:t>
      </w:r>
    </w:p>
    <w:p>
      <w:pPr>
        <w:pStyle w:val="10"/>
        <w:rPr>
          <w:rFonts w:asciiTheme="minorEastAsia" w:hAnsiTheme="minorEastAsia" w:eastAsiaTheme="minorEastAsia"/>
          <w:sz w:val="24"/>
        </w:rPr>
      </w:pPr>
      <w:bookmarkStart w:id="32" w:name="_Toc25235"/>
      <w:bookmarkStart w:id="33" w:name="_Toc491425851"/>
      <w:bookmarkStart w:id="34" w:name="_Toc449008950"/>
      <w:bookmarkStart w:id="35" w:name="_Toc116308533"/>
      <w:bookmarkStart w:id="36" w:name="_Toc11105603"/>
      <w:bookmarkStart w:id="37" w:name="_Toc55980095"/>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.5工艺卡片编制</w:t>
      </w:r>
      <w:bookmarkEnd w:id="32"/>
      <w:bookmarkEnd w:id="33"/>
      <w:bookmarkEnd w:id="34"/>
      <w:bookmarkEnd w:id="35"/>
      <w:bookmarkEnd w:id="36"/>
      <w:bookmarkEnd w:id="37"/>
    </w:p>
    <w:p>
      <w:pPr>
        <w:numPr>
          <w:ilvl w:val="0"/>
          <w:numId w:val="18"/>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集中管控符合规范和要求的各个专业组的各种工艺卡片模板，工艺人员在编制工</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艺卡片时，可以选择相应的工艺卡片模板，进行填写；</w:t>
      </w:r>
    </w:p>
    <w:p>
      <w:pPr>
        <w:numPr>
          <w:ilvl w:val="0"/>
          <w:numId w:val="18"/>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将典型、通用、有代表性、有指导性的工艺卡片，归档到典型工艺库中，按零件</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类别、系列产品或者工艺种类等方式进行组织和统一管理；</w:t>
      </w:r>
    </w:p>
    <w:p>
      <w:pPr>
        <w:numPr>
          <w:ilvl w:val="0"/>
          <w:numId w:val="18"/>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★新建工艺卡片时，可以引用历史工艺、引用在用工艺、引用典型工艺等多种方</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式来创建，快速生成符合要求的工艺文件；</w:t>
      </w:r>
    </w:p>
    <w:p>
      <w:pPr>
        <w:numPr>
          <w:ilvl w:val="0"/>
          <w:numId w:val="18"/>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支持对工艺卡片的版本管理，保留所有老版本的工艺卡片，所有版本的工艺卡片</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均可进行查询和浏览；</w:t>
      </w:r>
    </w:p>
    <w:p>
      <w:pPr>
        <w:numPr>
          <w:ilvl w:val="0"/>
          <w:numId w:val="18"/>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★在卡片编制过程中，工艺人员可调用和选择工艺资源库中的工艺术语、工艺设</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备、工序等基础信息进行填写，能够处理各种符合要求和规范的特殊字符，可混排尺寸公差、形位公差、粗糙度等符号与文字；编制工艺卡片环境中，应支持填写内容的复制、粘贴、剪切、查找、替换、删除、撤销、恢复、自动换行、字体大小、颜色、字体等操作功能，</w:t>
      </w:r>
      <w:r>
        <w:rPr>
          <w:rFonts w:hint="eastAsia" w:cs="宋体" w:asciiTheme="minorEastAsia" w:hAnsiTheme="minorEastAsia" w:eastAsiaTheme="minorEastAsia"/>
          <w:sz w:val="24"/>
        </w:rPr>
        <w:t>支持从Excel格式文件内容到工艺卡片的多行多列数据的复制和粘贴，</w:t>
      </w:r>
      <w:r>
        <w:rPr>
          <w:rFonts w:hint="eastAsia" w:asciiTheme="minorEastAsia" w:hAnsiTheme="minorEastAsia" w:eastAsiaTheme="minorEastAsia"/>
          <w:sz w:val="24"/>
        </w:rPr>
        <w:t>支持工艺卡片页面的增加、删减、移动等操作功能，支持工艺简图的批注、以缩略图方式查看工艺卡片、各种图形、工程符号、特殊字符的插入、工艺资源库查看等操作；</w:t>
      </w:r>
    </w:p>
    <w:p>
      <w:pPr>
        <w:numPr>
          <w:ilvl w:val="0"/>
          <w:numId w:val="18"/>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★填写工艺卡片时，可调取产品结构，从产品结构上点击选取装配件分配到工艺</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卡片上，装配件的剩余数量可与已分配数量进行关联和提醒；</w:t>
      </w:r>
    </w:p>
    <w:p>
      <w:pPr>
        <w:numPr>
          <w:ilvl w:val="0"/>
          <w:numId w:val="18"/>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在工艺卡片中可插入各种格式的图片文件，可插入CAD、Office、Visio流程图等</w:t>
      </w:r>
    </w:p>
    <w:p>
      <w:pPr>
        <w:numPr>
          <w:ilvl w:val="0"/>
          <w:numId w:val="0"/>
        </w:numPr>
        <w:spacing w:line="36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对象，可插入二维CAD附图，对图形文件再编辑时，可直接进入相对应的编辑环境，编辑完成后数据可直接保存到工艺卡片中；</w:t>
      </w:r>
    </w:p>
    <w:p>
      <w:pPr>
        <w:numPr>
          <w:ilvl w:val="0"/>
          <w:numId w:val="18"/>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color w:val="auto"/>
          <w:sz w:val="24"/>
        </w:rPr>
        <w:t>支持自动提取二维图纸的尺寸信息</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并根据数值动态更新，方便检验卡片等关</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color w:val="auto"/>
          <w:sz w:val="24"/>
        </w:rPr>
        <w:t>键尺寸自动生成。支持自动根据知识库及定义规则匹配量具清单</w:t>
      </w:r>
      <w:r>
        <w:rPr>
          <w:rFonts w:hint="eastAsia" w:asciiTheme="minorEastAsia" w:hAnsiTheme="minorEastAsia" w:eastAsiaTheme="minorEastAsia"/>
          <w:color w:val="auto"/>
          <w:sz w:val="24"/>
          <w:lang w:eastAsia="zh-CN"/>
        </w:rPr>
        <w:t>。</w:t>
      </w:r>
    </w:p>
    <w:p>
      <w:pPr>
        <w:numPr>
          <w:ilvl w:val="0"/>
          <w:numId w:val="18"/>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可以在卡片编辑环境中进行一般的引线、圈注以及文件批注。</w:t>
      </w:r>
    </w:p>
    <w:p>
      <w:pPr>
        <w:numPr>
          <w:ilvl w:val="0"/>
          <w:numId w:val="18"/>
        </w:numPr>
        <w:spacing w:line="360" w:lineRule="auto"/>
        <w:jc w:val="left"/>
        <w:rPr>
          <w:rFonts w:asciiTheme="minorEastAsia" w:hAnsiTheme="minorEastAsia" w:eastAsiaTheme="minorEastAsia"/>
          <w:sz w:val="24"/>
        </w:rPr>
      </w:pPr>
      <w:r>
        <w:rPr>
          <w:rFonts w:asciiTheme="minorEastAsia" w:hAnsiTheme="minorEastAsia" w:eastAsiaTheme="minorEastAsia"/>
          <w:sz w:val="24"/>
        </w:rPr>
        <w:t>支持工艺卡片电子签名。</w:t>
      </w:r>
    </w:p>
    <w:bookmarkEnd w:id="31"/>
    <w:p>
      <w:pPr>
        <w:numPr>
          <w:ilvl w:val="0"/>
          <w:numId w:val="2"/>
        </w:numPr>
        <w:spacing w:line="360" w:lineRule="auto"/>
        <w:ind w:firstLine="480" w:firstLineChars="200"/>
        <w:rPr>
          <w:rFonts w:asciiTheme="minorEastAsia" w:hAnsiTheme="minorEastAsia" w:eastAsiaTheme="minorEastAsia"/>
          <w:b/>
          <w:sz w:val="24"/>
        </w:rPr>
      </w:pPr>
      <w:bookmarkStart w:id="38" w:name="_Toc90671920"/>
      <w:r>
        <w:rPr>
          <w:rFonts w:hint="eastAsia" w:asciiTheme="minorEastAsia" w:hAnsiTheme="minorEastAsia" w:eastAsiaTheme="minorEastAsia"/>
          <w:b/>
          <w:sz w:val="24"/>
        </w:rPr>
        <w:t>设计、工艺一体化</w:t>
      </w:r>
    </w:p>
    <w:p>
      <w:pPr>
        <w:numPr>
          <w:ilvl w:val="0"/>
          <w:numId w:val="19"/>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工程BOM变更后，可对比和分析新版工程BOM与已有工艺BOM的差异，并更新已</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有的工艺BOM。</w:t>
      </w:r>
    </w:p>
    <w:p>
      <w:pPr>
        <w:numPr>
          <w:ilvl w:val="0"/>
          <w:numId w:val="19"/>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设计变更时，可邀请工艺人员对变更同步评审。变更后可在线将变更结果发送给</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工艺人员，工艺人员根据设计变更发起工艺变更流程。</w:t>
      </w:r>
    </w:p>
    <w:p>
      <w:pPr>
        <w:numPr>
          <w:ilvl w:val="0"/>
          <w:numId w:val="2"/>
        </w:num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查询和统计管理</w:t>
      </w:r>
      <w:bookmarkEnd w:id="38"/>
    </w:p>
    <w:p>
      <w:pPr>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支持快速查询，可根据关键词快速匹配查询结果；</w:t>
      </w:r>
    </w:p>
    <w:p>
      <w:pPr>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★支持多条件组合精确查询，查询条件及字段支持自定义，支持配置多个查询方</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案，并且系统支持记录查询历史；</w:t>
      </w:r>
    </w:p>
    <w:p>
      <w:pPr>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支持对工艺BOM进行单层、多层，正向、反向汇总；</w:t>
      </w:r>
    </w:p>
    <w:p>
      <w:pPr>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可进行工时定额、材料定额、工装明细等工艺汇总，汇总模板支持导入现有Excel</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格式表格模板，完成统计汇总后可导出为Excel报表；</w:t>
      </w:r>
    </w:p>
    <w:p>
      <w:pPr>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所有的统计、汇总结果，均能按照特定的EXCEL格式，进行输出。</w:t>
      </w:r>
    </w:p>
    <w:p>
      <w:pPr>
        <w:numPr>
          <w:ilvl w:val="0"/>
          <w:numId w:val="2"/>
        </w:num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用户、权限和安全管理</w:t>
      </w:r>
      <w:bookmarkEnd w:id="26"/>
      <w:bookmarkEnd w:id="27"/>
    </w:p>
    <w:p>
      <w:pPr>
        <w:numPr>
          <w:ilvl w:val="0"/>
          <w:numId w:val="21"/>
        </w:numPr>
        <w:spacing w:line="360" w:lineRule="auto"/>
        <w:jc w:val="left"/>
        <w:rPr>
          <w:rFonts w:asciiTheme="minorEastAsia" w:hAnsiTheme="minorEastAsia" w:eastAsiaTheme="minorEastAsia"/>
          <w:sz w:val="24"/>
        </w:rPr>
      </w:pPr>
      <w:bookmarkStart w:id="39" w:name="_Toc449008957"/>
      <w:bookmarkStart w:id="40" w:name="_Toc75339756"/>
      <w:bookmarkStart w:id="41" w:name="_Toc90671913"/>
      <w:r>
        <w:rPr>
          <w:rFonts w:hint="eastAsia" w:asciiTheme="minorEastAsia" w:hAnsiTheme="minorEastAsia" w:eastAsiaTheme="minorEastAsia"/>
          <w:sz w:val="24"/>
        </w:rPr>
        <w:t>系统应提供多维权限管理机制、灵活的授权方式，能够方便定义管理权限的粗细</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程度；提供颗粒化的权限管理机制，可以通过特定的业务规则控制、工作流程控制以及功能界面设计等实现对应用系统中的业务对象进行精细化的访问控制，提供动态和静态的授权方式；</w:t>
      </w:r>
    </w:p>
    <w:p>
      <w:pPr>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★系统应具备数据操作的日志管理和登录监控功能，确保数据的授权访问和数据</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安全；</w:t>
      </w:r>
    </w:p>
    <w:p>
      <w:pPr>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系统必须对服务器端归档管理的各种电子文档进行加密，防止非法访问。</w:t>
      </w:r>
    </w:p>
    <w:bookmarkEnd w:id="39"/>
    <w:bookmarkEnd w:id="40"/>
    <w:bookmarkEnd w:id="41"/>
    <w:p>
      <w:pPr>
        <w:numPr>
          <w:ilvl w:val="0"/>
          <w:numId w:val="2"/>
        </w:numPr>
        <w:spacing w:line="360" w:lineRule="auto"/>
        <w:ind w:firstLine="480" w:firstLineChars="200"/>
        <w:rPr>
          <w:rFonts w:asciiTheme="minorEastAsia" w:hAnsiTheme="minorEastAsia" w:eastAsiaTheme="minorEastAsia"/>
          <w:b/>
          <w:sz w:val="24"/>
        </w:rPr>
      </w:pPr>
      <w:bookmarkStart w:id="42" w:name="_Toc90671911"/>
      <w:bookmarkStart w:id="43" w:name="_Toc75339753"/>
      <w:bookmarkStart w:id="44" w:name="_Toc90671914"/>
      <w:r>
        <w:rPr>
          <w:rFonts w:hint="eastAsia" w:asciiTheme="minorEastAsia" w:hAnsiTheme="minorEastAsia" w:eastAsiaTheme="minorEastAsia"/>
          <w:b/>
          <w:sz w:val="24"/>
        </w:rPr>
        <w:t>与ERP集成</w:t>
      </w:r>
      <w:bookmarkEnd w:id="42"/>
      <w:bookmarkEnd w:id="43"/>
    </w:p>
    <w:p>
      <w:pPr>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与ERP集成：通过数据集成接口，PLM向ERP传递产品BOM、BOM变更等数据；</w:t>
      </w:r>
    </w:p>
    <w:p>
      <w:pPr>
        <w:numPr>
          <w:ilvl w:val="0"/>
          <w:numId w:val="2"/>
        </w:num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与MES集成</w:t>
      </w:r>
    </w:p>
    <w:p>
      <w:pPr>
        <w:numPr>
          <w:ilvl w:val="0"/>
          <w:numId w:val="23"/>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与MES集成：通过数据集成接口，PLM向MES传递工艺路线、工艺过程、图片等</w:t>
      </w:r>
    </w:p>
    <w:p>
      <w:pPr>
        <w:numPr>
          <w:ilvl w:val="0"/>
          <w:numId w:val="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数据；</w:t>
      </w:r>
      <w:bookmarkEnd w:id="44"/>
    </w:p>
    <w:bookmarkEnd w:id="2"/>
    <w:bookmarkEnd w:id="3"/>
    <w:p>
      <w:pPr>
        <w:numPr>
          <w:ilvl w:val="0"/>
          <w:numId w:val="2"/>
        </w:numPr>
        <w:tabs>
          <w:tab w:val="left" w:pos="646"/>
        </w:tabs>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用户数要求</w:t>
      </w:r>
    </w:p>
    <w:p>
      <w:pPr>
        <w:tabs>
          <w:tab w:val="left" w:pos="646"/>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★系统要求满足1</w:t>
      </w:r>
      <w:r>
        <w:rPr>
          <w:rFonts w:asciiTheme="minorEastAsia" w:hAnsiTheme="minorEastAsia" w:eastAsiaTheme="minorEastAsia"/>
          <w:sz w:val="24"/>
        </w:rPr>
        <w:t>0</w:t>
      </w:r>
      <w:r>
        <w:rPr>
          <w:rFonts w:hint="eastAsia" w:asciiTheme="minorEastAsia" w:hAnsiTheme="minorEastAsia" w:eastAsiaTheme="minorEastAsia"/>
          <w:sz w:val="24"/>
        </w:rPr>
        <w:t>个编辑用户和2</w:t>
      </w:r>
      <w:r>
        <w:rPr>
          <w:rFonts w:asciiTheme="minorEastAsia" w:hAnsiTheme="minorEastAsia" w:eastAsiaTheme="minorEastAsia"/>
          <w:sz w:val="24"/>
        </w:rPr>
        <w:t>0</w:t>
      </w:r>
      <w:r>
        <w:rPr>
          <w:rFonts w:hint="eastAsia" w:asciiTheme="minorEastAsia" w:hAnsiTheme="minorEastAsia" w:eastAsiaTheme="minorEastAsia"/>
          <w:sz w:val="24"/>
        </w:rPr>
        <w:t>个浏览用户的使用需求。</w:t>
      </w:r>
    </w:p>
    <w:p>
      <w:pPr>
        <w:numPr>
          <w:ilvl w:val="0"/>
          <w:numId w:val="2"/>
        </w:num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硬件技术参数要求</w:t>
      </w:r>
    </w:p>
    <w:p>
      <w:pPr>
        <w:pStyle w:val="20"/>
        <w:numPr>
          <w:ilvl w:val="0"/>
          <w:numId w:val="24"/>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硬件参数在投标方案中有详细描述。</w:t>
      </w:r>
    </w:p>
    <w:p>
      <w:pPr>
        <w:spacing w:line="360" w:lineRule="auto"/>
        <w:ind w:left="420"/>
        <w:rPr>
          <w:rFonts w:asciiTheme="minorEastAsia" w:hAnsiTheme="minorEastAsia" w:eastAsiaTheme="minorEastAsia"/>
          <w:b/>
          <w:sz w:val="24"/>
        </w:rPr>
      </w:pPr>
      <w:r>
        <w:rPr>
          <w:rFonts w:hint="eastAsia" w:asciiTheme="minorEastAsia" w:hAnsiTheme="minorEastAsia" w:eastAsiaTheme="minorEastAsia"/>
          <w:b/>
          <w:sz w:val="24"/>
          <w:lang w:val="en-US" w:eastAsia="zh-CN"/>
        </w:rPr>
        <w:t>19</w:t>
      </w:r>
      <w:r>
        <w:rPr>
          <w:rFonts w:hint="eastAsia" w:asciiTheme="minorEastAsia" w:hAnsiTheme="minorEastAsia" w:eastAsiaTheme="minorEastAsia"/>
          <w:b/>
          <w:sz w:val="24"/>
        </w:rPr>
        <w:t>、国产硬件和软件适配要求</w:t>
      </w:r>
    </w:p>
    <w:p>
      <w:pPr>
        <w:spacing w:line="360" w:lineRule="auto"/>
        <w:ind w:left="420"/>
        <w:rPr>
          <w:rFonts w:hint="eastAsia" w:cs="微软雅黑" w:asciiTheme="minorEastAsia" w:hAnsiTheme="minorEastAsia" w:eastAsiaTheme="minorEastAsia"/>
          <w:sz w:val="24"/>
        </w:rPr>
      </w:pPr>
      <w:r>
        <w:rPr>
          <w:rFonts w:hint="eastAsia" w:asciiTheme="minorEastAsia" w:hAnsiTheme="minorEastAsia" w:eastAsiaTheme="minorEastAsia"/>
          <w:sz w:val="24"/>
        </w:rPr>
        <w:t>1） ★</w:t>
      </w:r>
      <w:r>
        <w:rPr>
          <w:rFonts w:hint="eastAsia" w:cs="微软雅黑" w:asciiTheme="minorEastAsia" w:hAnsiTheme="minorEastAsia" w:eastAsiaTheme="minorEastAsia"/>
          <w:sz w:val="24"/>
        </w:rPr>
        <w:t>必须符合工信部相关要求，即满足龙芯、飞腾、鲲鹏、麒麟或达梦高斯等国产</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CPU</w:t>
      </w:r>
      <w:r>
        <w:rPr>
          <w:rFonts w:hint="eastAsia" w:cs="微软雅黑" w:asciiTheme="minorEastAsia" w:hAnsiTheme="minorEastAsia" w:eastAsiaTheme="minorEastAsia"/>
          <w:sz w:val="24"/>
        </w:rPr>
        <w:t>芯片、操作系统、数据库、浏览器、办公软件的国产化适配，云端部署，并提供证明材料。</w:t>
      </w:r>
    </w:p>
    <w:p>
      <w:pPr>
        <w:spacing w:line="360" w:lineRule="auto"/>
        <w:ind w:firstLine="480" w:firstLineChars="200"/>
        <w:rPr>
          <w:b/>
          <w:bCs/>
          <w:sz w:val="24"/>
        </w:rPr>
      </w:pPr>
      <w:r>
        <w:rPr>
          <w:rFonts w:hint="eastAsia" w:ascii="微软雅黑" w:hAnsi="微软雅黑" w:eastAsia="微软雅黑" w:cs="微软雅黑"/>
          <w:b/>
          <w:bCs/>
          <w:sz w:val="24"/>
        </w:rPr>
        <w:t>（</w:t>
      </w:r>
      <w:r>
        <w:rPr>
          <w:rFonts w:hint="eastAsia"/>
          <w:b/>
          <w:bCs/>
          <w:sz w:val="24"/>
        </w:rPr>
        <w:t>四）项目实施服务要求</w:t>
      </w:r>
    </w:p>
    <w:p>
      <w:pPr>
        <w:spacing w:line="360" w:lineRule="auto"/>
        <w:ind w:firstLine="480" w:firstLineChars="200"/>
        <w:rPr>
          <w:rFonts w:eastAsia="宋体"/>
          <w:sz w:val="24"/>
        </w:rPr>
      </w:pPr>
      <w:r>
        <w:rPr>
          <w:rFonts w:hint="eastAsia"/>
          <w:sz w:val="24"/>
        </w:rPr>
        <w:t>1. 本项目要求投标方项目经理经验丰富，项目经理经验需在</w:t>
      </w:r>
      <w:r>
        <w:rPr>
          <w:rFonts w:eastAsia="宋体"/>
          <w:sz w:val="24"/>
        </w:rPr>
        <w:t>3</w:t>
      </w:r>
      <w:r>
        <w:rPr>
          <w:rFonts w:hint="eastAsia"/>
          <w:sz w:val="24"/>
        </w:rPr>
        <w:t>年以上（附实施</w:t>
      </w:r>
      <w:r>
        <w:rPr>
          <w:rFonts w:hint="eastAsia" w:eastAsia="宋体"/>
          <w:sz w:val="24"/>
        </w:rPr>
        <w:t>项目经理</w:t>
      </w:r>
      <w:r>
        <w:rPr>
          <w:rFonts w:hint="eastAsia"/>
          <w:sz w:val="24"/>
        </w:rPr>
        <w:t>简历）</w:t>
      </w:r>
      <w:r>
        <w:rPr>
          <w:rFonts w:hint="eastAsia" w:eastAsia="宋体"/>
          <w:sz w:val="24"/>
        </w:rPr>
        <w:t>并</w:t>
      </w:r>
      <w:r>
        <w:rPr>
          <w:rFonts w:hint="eastAsia"/>
          <w:sz w:val="24"/>
        </w:rPr>
        <w:t>具有</w:t>
      </w:r>
      <w:r>
        <w:rPr>
          <w:rFonts w:hint="eastAsia" w:eastAsia="宋体"/>
          <w:sz w:val="24"/>
        </w:rPr>
        <w:t>汽配或紧固件</w:t>
      </w:r>
      <w:r>
        <w:rPr>
          <w:rFonts w:hint="eastAsia"/>
          <w:sz w:val="24"/>
        </w:rPr>
        <w:t>行业成功实施的经验者为佳，以保障可以快速上线</w:t>
      </w:r>
      <w:r>
        <w:rPr>
          <w:rFonts w:hint="eastAsia" w:eastAsia="宋体"/>
          <w:sz w:val="24"/>
        </w:rPr>
        <w:t>。</w:t>
      </w:r>
    </w:p>
    <w:p>
      <w:pPr>
        <w:spacing w:line="360" w:lineRule="auto"/>
        <w:ind w:firstLine="480" w:firstLineChars="200"/>
        <w:rPr>
          <w:sz w:val="24"/>
        </w:rPr>
      </w:pPr>
      <w:r>
        <w:rPr>
          <w:rFonts w:hint="eastAsia"/>
          <w:sz w:val="24"/>
        </w:rPr>
        <w:t>2. 招标方有权对</w:t>
      </w:r>
      <w:r>
        <w:rPr>
          <w:rFonts w:hint="eastAsia" w:eastAsia="宋体"/>
          <w:sz w:val="24"/>
        </w:rPr>
        <w:t>项目</w:t>
      </w:r>
      <w:r>
        <w:rPr>
          <w:rFonts w:hint="eastAsia"/>
          <w:sz w:val="24"/>
        </w:rPr>
        <w:t>经理的业务能力进行评价，对于评价不合格的情况，有权要求投标方更换项目经理。</w:t>
      </w:r>
    </w:p>
    <w:p>
      <w:pPr>
        <w:spacing w:line="360" w:lineRule="auto"/>
        <w:ind w:firstLine="480" w:firstLineChars="200"/>
        <w:rPr>
          <w:b/>
          <w:bCs/>
          <w:sz w:val="24"/>
        </w:rPr>
      </w:pPr>
      <w:r>
        <w:rPr>
          <w:rFonts w:hint="eastAsia"/>
          <w:b/>
          <w:bCs/>
          <w:sz w:val="24"/>
        </w:rPr>
        <w:t>（五）验收</w:t>
      </w:r>
    </w:p>
    <w:p>
      <w:pPr>
        <w:widowControl/>
        <w:tabs>
          <w:tab w:val="left" w:pos="540"/>
        </w:tabs>
        <w:spacing w:line="360" w:lineRule="auto"/>
        <w:ind w:firstLine="480" w:firstLineChars="200"/>
        <w:jc w:val="left"/>
        <w:rPr>
          <w:rFonts w:ascii="宋体" w:hAnsi="宋体" w:eastAsia="宋体" w:cs="宋体"/>
          <w:spacing w:val="10"/>
          <w:sz w:val="24"/>
        </w:rPr>
      </w:pPr>
      <w:r>
        <w:rPr>
          <w:rFonts w:hint="eastAsia" w:eastAsia="宋体"/>
          <w:sz w:val="24"/>
        </w:rPr>
        <w:t>自</w:t>
      </w:r>
      <w:r>
        <w:rPr>
          <w:rFonts w:eastAsia="宋体"/>
          <w:sz w:val="24"/>
        </w:rPr>
        <w:t>PLM</w:t>
      </w:r>
      <w:r>
        <w:rPr>
          <w:rFonts w:hint="eastAsia" w:eastAsia="宋体"/>
          <w:sz w:val="24"/>
        </w:rPr>
        <w:t>系统</w:t>
      </w:r>
      <w:r>
        <w:rPr>
          <w:rFonts w:hint="eastAsia"/>
          <w:sz w:val="24"/>
        </w:rPr>
        <w:t>上线正常运行</w:t>
      </w:r>
      <w:r>
        <w:rPr>
          <w:rFonts w:hint="eastAsia" w:ascii="宋体" w:hAnsi="宋体" w:eastAsia="宋体" w:cs="宋体"/>
          <w:sz w:val="24"/>
          <w:lang w:val="en-US" w:eastAsia="zh-CN"/>
        </w:rPr>
        <w:t>1</w:t>
      </w:r>
      <w:r>
        <w:rPr>
          <w:rFonts w:hint="eastAsia"/>
          <w:sz w:val="24"/>
        </w:rPr>
        <w:t>个月</w:t>
      </w:r>
      <w:r>
        <w:rPr>
          <w:rFonts w:hint="eastAsia" w:eastAsia="宋体"/>
          <w:sz w:val="24"/>
        </w:rPr>
        <w:t>后</w:t>
      </w:r>
      <w:r>
        <w:rPr>
          <w:rFonts w:hint="eastAsia"/>
          <w:sz w:val="24"/>
        </w:rPr>
        <w:t>，按</w:t>
      </w:r>
      <w:r>
        <w:rPr>
          <w:rFonts w:hint="eastAsia" w:ascii="宋体" w:hAnsi="宋体" w:eastAsia="宋体" w:cs="宋体"/>
          <w:kern w:val="0"/>
          <w:sz w:val="24"/>
          <w:szCs w:val="20"/>
        </w:rPr>
        <w:t>双方签订的技术协议进行验收。如果</w:t>
      </w:r>
      <w:r>
        <w:rPr>
          <w:rFonts w:hint="eastAsia" w:ascii="宋体" w:hAnsi="宋体" w:eastAsia="宋体" w:cs="宋体"/>
          <w:sz w:val="24"/>
        </w:rPr>
        <w:t>验收不合格，买方有权要求退货退款，另由卖方按预付款额赔偿招标方损失。验证和验收完毕，系统进入正常工作状态，双方现场代表签字认可验收结果。</w:t>
      </w:r>
    </w:p>
    <w:p>
      <w:pPr>
        <w:spacing w:line="360" w:lineRule="auto"/>
        <w:ind w:firstLine="480" w:firstLineChars="200"/>
        <w:rPr>
          <w:b/>
          <w:bCs/>
          <w:sz w:val="24"/>
        </w:rPr>
      </w:pPr>
      <w:r>
        <w:rPr>
          <w:rFonts w:hint="eastAsia"/>
          <w:b/>
          <w:bCs/>
          <w:sz w:val="24"/>
        </w:rPr>
        <w:t>（六）培训事宜</w:t>
      </w:r>
    </w:p>
    <w:p>
      <w:pPr>
        <w:spacing w:line="360" w:lineRule="auto"/>
        <w:ind w:firstLine="480" w:firstLineChars="200"/>
        <w:rPr>
          <w:sz w:val="24"/>
        </w:rPr>
      </w:pPr>
      <w:r>
        <w:rPr>
          <w:rFonts w:hint="eastAsia" w:eastAsia="宋体"/>
          <w:sz w:val="24"/>
        </w:rPr>
        <w:t>1</w:t>
      </w:r>
      <w:r>
        <w:rPr>
          <w:rFonts w:hint="eastAsia"/>
          <w:sz w:val="24"/>
        </w:rPr>
        <w:t>. 投标方在合同签订后，应分阶段派人员前往招标方现场进行</w:t>
      </w:r>
      <w:r>
        <w:rPr>
          <w:rFonts w:hint="eastAsia" w:eastAsia="宋体"/>
          <w:sz w:val="24"/>
        </w:rPr>
        <w:t>实施</w:t>
      </w:r>
      <w:r>
        <w:rPr>
          <w:rFonts w:hint="eastAsia"/>
          <w:sz w:val="24"/>
        </w:rPr>
        <w:t>培训及</w:t>
      </w:r>
      <w:r>
        <w:rPr>
          <w:rFonts w:hint="eastAsia" w:eastAsia="宋体"/>
          <w:sz w:val="24"/>
        </w:rPr>
        <w:t>系统</w:t>
      </w:r>
      <w:r>
        <w:rPr>
          <w:rFonts w:hint="eastAsia"/>
          <w:sz w:val="24"/>
        </w:rPr>
        <w:t>调试</w:t>
      </w:r>
      <w:r>
        <w:rPr>
          <w:rFonts w:hint="eastAsia" w:eastAsia="宋体"/>
          <w:sz w:val="24"/>
        </w:rPr>
        <w:t>，</w:t>
      </w:r>
      <w:r>
        <w:rPr>
          <w:rFonts w:hint="eastAsia" w:ascii="宋体" w:hAnsi="宋体" w:eastAsia="宋体" w:cs="宋体"/>
          <w:sz w:val="24"/>
        </w:rPr>
        <w:t>投标方提供不少于3天的使用现场培训，投标方在招标方现场对软件模块、流程、操作、系统常规维护等进行免费培训，保证招标方能够正常运行系统并实施系统常规维护。</w:t>
      </w:r>
    </w:p>
    <w:p>
      <w:pPr>
        <w:spacing w:line="360" w:lineRule="auto"/>
        <w:ind w:firstLine="480" w:firstLineChars="200"/>
        <w:rPr>
          <w:b/>
          <w:bCs/>
          <w:sz w:val="24"/>
        </w:rPr>
      </w:pPr>
      <w:r>
        <w:rPr>
          <w:rFonts w:hint="eastAsia"/>
          <w:b/>
          <w:bCs/>
          <w:sz w:val="24"/>
        </w:rPr>
        <w:t>（七）</w:t>
      </w:r>
      <w:r>
        <w:rPr>
          <w:rFonts w:hint="eastAsia" w:eastAsia="宋体"/>
          <w:b/>
          <w:bCs/>
          <w:sz w:val="24"/>
        </w:rPr>
        <w:t>质保期</w:t>
      </w:r>
      <w:r>
        <w:rPr>
          <w:rFonts w:hint="eastAsia"/>
          <w:b/>
          <w:bCs/>
          <w:sz w:val="24"/>
        </w:rPr>
        <w:t>及商务技术服务要求</w:t>
      </w:r>
    </w:p>
    <w:p>
      <w:pPr>
        <w:spacing w:line="360" w:lineRule="auto"/>
        <w:ind w:firstLine="480" w:firstLineChars="200"/>
        <w:rPr>
          <w:rFonts w:eastAsia="宋体"/>
        </w:rPr>
      </w:pPr>
      <w:r>
        <w:rPr>
          <w:rFonts w:hint="eastAsia" w:eastAsia="宋体"/>
          <w:b/>
          <w:bCs/>
          <w:sz w:val="24"/>
        </w:rPr>
        <w:t xml:space="preserve"> </w:t>
      </w:r>
      <w:r>
        <w:rPr>
          <w:rFonts w:hint="eastAsia" w:eastAsia="宋体"/>
          <w:sz w:val="24"/>
        </w:rPr>
        <w:t>1.</w:t>
      </w:r>
      <w:r>
        <w:rPr>
          <w:rFonts w:hint="eastAsia" w:eastAsia="宋体"/>
          <w:b/>
          <w:bCs/>
          <w:sz w:val="24"/>
        </w:rPr>
        <w:t xml:space="preserve"> </w:t>
      </w:r>
      <w:r>
        <w:rPr>
          <w:rFonts w:hint="eastAsia"/>
          <w:sz w:val="24"/>
        </w:rPr>
        <w:t>本项目为包干制交钥匙工程，</w:t>
      </w:r>
      <w:r>
        <w:rPr>
          <w:rFonts w:hint="eastAsia" w:ascii="宋体" w:hAnsi="宋体" w:eastAsia="宋体" w:cs="宋体"/>
          <w:sz w:val="24"/>
        </w:rPr>
        <w:t>投标人负责软件的实施、培训直至项目进入正常工作状态。</w:t>
      </w:r>
    </w:p>
    <w:p>
      <w:pPr>
        <w:spacing w:line="360" w:lineRule="auto"/>
        <w:ind w:firstLine="480" w:firstLineChars="200"/>
        <w:rPr>
          <w:rFonts w:eastAsia="宋体"/>
          <w:sz w:val="24"/>
        </w:rPr>
      </w:pPr>
      <w:r>
        <w:rPr>
          <w:rFonts w:hint="eastAsia" w:eastAsia="宋体"/>
          <w:sz w:val="24"/>
        </w:rPr>
        <w:t>2</w:t>
      </w:r>
      <w:r>
        <w:rPr>
          <w:rFonts w:hint="eastAsia"/>
          <w:sz w:val="24"/>
        </w:rPr>
        <w:t>. 投标方工作人员在招标方现场安装、培训、上线过程全部费用自理</w:t>
      </w:r>
      <w:r>
        <w:rPr>
          <w:rFonts w:hint="eastAsia" w:eastAsia="宋体"/>
          <w:sz w:val="24"/>
        </w:rPr>
        <w:t>。</w:t>
      </w:r>
    </w:p>
    <w:p>
      <w:pPr>
        <w:spacing w:line="360" w:lineRule="auto"/>
        <w:ind w:firstLine="480" w:firstLineChars="200"/>
        <w:rPr>
          <w:sz w:val="24"/>
        </w:rPr>
      </w:pPr>
      <w:r>
        <w:rPr>
          <w:rFonts w:hint="eastAsia" w:eastAsia="宋体"/>
          <w:sz w:val="24"/>
        </w:rPr>
        <w:t>3</w:t>
      </w:r>
      <w:r>
        <w:rPr>
          <w:rFonts w:hint="eastAsia"/>
          <w:sz w:val="24"/>
        </w:rPr>
        <w:t>. 投标方应保证有专门</w:t>
      </w:r>
      <w:r>
        <w:rPr>
          <w:rFonts w:hint="eastAsia" w:ascii="宋体" w:hAnsi="宋体" w:eastAsia="宋体" w:cs="宋体"/>
          <w:sz w:val="24"/>
        </w:rPr>
        <w:t>重庆本地实施服务</w:t>
      </w:r>
      <w:r>
        <w:rPr>
          <w:rFonts w:hint="eastAsia"/>
          <w:sz w:val="24"/>
        </w:rPr>
        <w:t>或运维团队，能及时提供优质的售后服务。</w:t>
      </w:r>
    </w:p>
    <w:p>
      <w:pPr>
        <w:spacing w:line="360" w:lineRule="auto"/>
        <w:ind w:firstLine="480" w:firstLineChars="200"/>
        <w:rPr>
          <w:rFonts w:eastAsia="宋体"/>
          <w:sz w:val="24"/>
        </w:rPr>
      </w:pPr>
      <w:r>
        <w:rPr>
          <w:rFonts w:hint="eastAsia" w:eastAsia="宋体"/>
          <w:sz w:val="24"/>
        </w:rPr>
        <w:t>4</w:t>
      </w:r>
      <w:r>
        <w:rPr>
          <w:rFonts w:hint="eastAsia"/>
          <w:sz w:val="24"/>
        </w:rPr>
        <w:t xml:space="preserve">. </w:t>
      </w:r>
      <w:r>
        <w:rPr>
          <w:rFonts w:hint="eastAsia" w:eastAsia="宋体"/>
          <w:sz w:val="24"/>
        </w:rPr>
        <w:t>质保期</w:t>
      </w:r>
      <w:r>
        <w:rPr>
          <w:rFonts w:hint="eastAsia"/>
          <w:sz w:val="24"/>
        </w:rPr>
        <w:t>：终验收合格后，</w:t>
      </w:r>
      <w:r>
        <w:rPr>
          <w:rFonts w:hint="eastAsia" w:eastAsia="宋体"/>
          <w:sz w:val="24"/>
        </w:rPr>
        <w:t>项目整体</w:t>
      </w:r>
      <w:r>
        <w:rPr>
          <w:rFonts w:hint="eastAsia"/>
          <w:sz w:val="24"/>
        </w:rPr>
        <w:t>免费维护期不应低于一年，</w:t>
      </w:r>
      <w:r>
        <w:rPr>
          <w:rFonts w:hint="eastAsia" w:ascii="宋体" w:hAnsi="宋体" w:eastAsia="宋体" w:cs="宋体"/>
          <w:sz w:val="24"/>
        </w:rPr>
        <w:t>为用户提供专业周到的售后服务，现场服务要求2</w:t>
      </w:r>
      <w:r>
        <w:rPr>
          <w:rFonts w:ascii="宋体" w:hAnsi="宋体" w:eastAsia="宋体" w:cs="宋体"/>
          <w:sz w:val="24"/>
        </w:rPr>
        <w:t>4</w:t>
      </w:r>
      <w:r>
        <w:rPr>
          <w:rFonts w:hint="eastAsia" w:ascii="宋体" w:hAnsi="宋体" w:eastAsia="宋体" w:cs="宋体"/>
          <w:sz w:val="24"/>
        </w:rPr>
        <w:t>小时内响应，紧急故障要求在</w:t>
      </w:r>
      <w:r>
        <w:rPr>
          <w:rFonts w:ascii="宋体" w:hAnsi="宋体" w:eastAsia="宋体" w:cs="宋体"/>
          <w:sz w:val="24"/>
        </w:rPr>
        <w:t>4</w:t>
      </w:r>
      <w:r>
        <w:rPr>
          <w:rFonts w:hint="eastAsia" w:ascii="宋体" w:hAnsi="宋体" w:eastAsia="宋体" w:cs="宋体"/>
          <w:sz w:val="24"/>
        </w:rPr>
        <w:t>小时内确保系统恢复正常运行。除了现场服务外，要求提供电话、传真、微信、网络等形式的服务。服务承诺应写明服务方式，服务费用以及免费服务的年限等，且在重庆本地需要有技术团队。</w:t>
      </w:r>
    </w:p>
    <w:p>
      <w:pPr>
        <w:spacing w:line="360" w:lineRule="auto"/>
        <w:ind w:firstLine="480" w:firstLineChars="200"/>
        <w:rPr>
          <w:rFonts w:eastAsia="宋体"/>
          <w:sz w:val="24"/>
        </w:rPr>
      </w:pPr>
      <w:r>
        <w:rPr>
          <w:rFonts w:hint="eastAsia" w:eastAsia="宋体"/>
          <w:sz w:val="24"/>
        </w:rPr>
        <w:t>5</w:t>
      </w:r>
      <w:r>
        <w:rPr>
          <w:rFonts w:hint="eastAsia"/>
          <w:sz w:val="24"/>
        </w:rPr>
        <w:t>. 提供7*24小时专业技术服务支持，响应时间低于</w:t>
      </w:r>
      <w:r>
        <w:rPr>
          <w:rFonts w:eastAsia="宋体"/>
          <w:sz w:val="24"/>
        </w:rPr>
        <w:t>4</w:t>
      </w:r>
      <w:r>
        <w:rPr>
          <w:rFonts w:hint="eastAsia"/>
          <w:sz w:val="24"/>
        </w:rPr>
        <w:t>小时，招标方反馈的重大问题，</w:t>
      </w:r>
      <w:r>
        <w:rPr>
          <w:sz w:val="24"/>
        </w:rPr>
        <w:t>24</w:t>
      </w:r>
      <w:r>
        <w:rPr>
          <w:rFonts w:hint="eastAsia"/>
          <w:sz w:val="24"/>
        </w:rPr>
        <w:t>小时内派人员到达现场处理</w:t>
      </w:r>
      <w:r>
        <w:rPr>
          <w:rFonts w:hint="eastAsia" w:eastAsia="宋体"/>
          <w:sz w:val="24"/>
        </w:rPr>
        <w:t>。</w:t>
      </w:r>
    </w:p>
    <w:p>
      <w:pPr>
        <w:spacing w:line="360" w:lineRule="auto"/>
        <w:ind w:firstLine="480" w:firstLineChars="200"/>
        <w:rPr>
          <w:sz w:val="24"/>
        </w:rPr>
      </w:pPr>
      <w:r>
        <w:rPr>
          <w:rFonts w:hint="eastAsia" w:eastAsia="宋体"/>
          <w:sz w:val="24"/>
        </w:rPr>
        <w:t>6</w:t>
      </w:r>
      <w:r>
        <w:rPr>
          <w:rFonts w:hint="eastAsia"/>
          <w:sz w:val="24"/>
        </w:rPr>
        <w:t>.</w:t>
      </w:r>
      <w:r>
        <w:rPr>
          <w:rFonts w:hint="eastAsia" w:eastAsia="宋体"/>
          <w:sz w:val="24"/>
        </w:rPr>
        <w:t xml:space="preserve"> </w:t>
      </w:r>
      <w:r>
        <w:rPr>
          <w:rFonts w:hint="eastAsia"/>
          <w:sz w:val="24"/>
        </w:rPr>
        <w:t>投标人的服务承诺应按不低于招标文件中提出的所有服务要求标准做出响应。其基本服务要求如下：</w:t>
      </w:r>
    </w:p>
    <w:p>
      <w:pPr>
        <w:spacing w:line="360" w:lineRule="auto"/>
        <w:ind w:firstLine="480" w:firstLineChars="200"/>
        <w:rPr>
          <w:sz w:val="24"/>
        </w:rPr>
      </w:pPr>
      <w:r>
        <w:rPr>
          <w:rFonts w:hint="eastAsia"/>
          <w:sz w:val="24"/>
        </w:rPr>
        <w:t>（1）在</w:t>
      </w:r>
      <w:r>
        <w:rPr>
          <w:rFonts w:hint="eastAsia" w:eastAsia="宋体"/>
          <w:sz w:val="24"/>
        </w:rPr>
        <w:t>质保期内投标</w:t>
      </w:r>
      <w:r>
        <w:rPr>
          <w:rFonts w:hint="eastAsia"/>
          <w:sz w:val="24"/>
        </w:rPr>
        <w:t>方提供免费技术服务，包括问题处理、安装调试、系统维护、升级服务、技术咨询、人员培训等，保证系统运行稳定、可靠。</w:t>
      </w:r>
    </w:p>
    <w:p>
      <w:pPr>
        <w:spacing w:line="360" w:lineRule="auto"/>
        <w:ind w:firstLine="480" w:firstLineChars="200"/>
        <w:rPr>
          <w:b/>
          <w:bCs/>
          <w:sz w:val="24"/>
        </w:rPr>
      </w:pPr>
      <w:r>
        <w:rPr>
          <w:rFonts w:hint="eastAsia"/>
          <w:b/>
          <w:bCs/>
          <w:sz w:val="24"/>
        </w:rPr>
        <w:t>四、投标报价及相关要求</w:t>
      </w:r>
    </w:p>
    <w:p>
      <w:pPr>
        <w:spacing w:line="360" w:lineRule="auto"/>
        <w:ind w:firstLine="480" w:firstLineChars="200"/>
        <w:rPr>
          <w:sz w:val="24"/>
          <w:highlight w:val="none"/>
        </w:rPr>
      </w:pPr>
      <w:r>
        <w:rPr>
          <w:rFonts w:hint="eastAsia"/>
          <w:sz w:val="24"/>
          <w:highlight w:val="none"/>
        </w:rPr>
        <w:t>1. 投标最高限价为</w:t>
      </w:r>
      <w:r>
        <w:rPr>
          <w:sz w:val="24"/>
          <w:highlight w:val="none"/>
        </w:rPr>
        <w:t>5</w:t>
      </w:r>
      <w:r>
        <w:rPr>
          <w:rFonts w:hint="eastAsia"/>
          <w:sz w:val="24"/>
          <w:highlight w:val="none"/>
        </w:rPr>
        <w:t>0万元人民币</w:t>
      </w:r>
      <w:r>
        <w:rPr>
          <w:rFonts w:hint="eastAsia" w:eastAsia="宋体"/>
          <w:sz w:val="24"/>
          <w:highlight w:val="none"/>
        </w:rPr>
        <w:t>（包含13%增值税）</w:t>
      </w:r>
      <w:r>
        <w:rPr>
          <w:rFonts w:hint="eastAsia"/>
          <w:sz w:val="24"/>
          <w:highlight w:val="none"/>
        </w:rPr>
        <w:t>。</w:t>
      </w:r>
    </w:p>
    <w:p>
      <w:pPr>
        <w:spacing w:line="360" w:lineRule="auto"/>
        <w:ind w:firstLine="480" w:firstLineChars="200"/>
        <w:rPr>
          <w:sz w:val="24"/>
        </w:rPr>
      </w:pPr>
      <w:r>
        <w:rPr>
          <w:rFonts w:hint="eastAsia"/>
          <w:sz w:val="24"/>
        </w:rPr>
        <w:t>2. 支付形式：</w:t>
      </w:r>
      <w:r>
        <w:rPr>
          <w:rFonts w:hint="eastAsia" w:eastAsia="宋体"/>
          <w:sz w:val="24"/>
          <w:lang w:eastAsia="zh-CN"/>
        </w:rPr>
        <w:t>银行承兑</w:t>
      </w:r>
      <w:r>
        <w:rPr>
          <w:rFonts w:hint="eastAsia"/>
          <w:sz w:val="24"/>
        </w:rPr>
        <w:t>、电汇。</w:t>
      </w:r>
    </w:p>
    <w:p>
      <w:pPr>
        <w:spacing w:line="360" w:lineRule="auto"/>
        <w:ind w:firstLine="480" w:firstLineChars="200"/>
        <w:rPr>
          <w:rFonts w:eastAsia="宋体"/>
          <w:sz w:val="24"/>
        </w:rPr>
      </w:pPr>
      <w:r>
        <w:rPr>
          <w:rFonts w:hint="eastAsia"/>
          <w:sz w:val="24"/>
        </w:rPr>
        <w:t>3. 投标报价：包干价</w:t>
      </w:r>
      <w:r>
        <w:rPr>
          <w:rFonts w:hint="eastAsia" w:eastAsia="宋体"/>
          <w:sz w:val="24"/>
        </w:rPr>
        <w:t>。</w:t>
      </w:r>
    </w:p>
    <w:p>
      <w:pPr>
        <w:spacing w:line="360" w:lineRule="auto"/>
        <w:ind w:firstLine="480" w:firstLineChars="200"/>
        <w:rPr>
          <w:rFonts w:eastAsia="宋体"/>
          <w:sz w:val="24"/>
        </w:rPr>
      </w:pPr>
      <w:r>
        <w:rPr>
          <w:rFonts w:hint="eastAsia" w:eastAsia="宋体"/>
          <w:sz w:val="24"/>
        </w:rPr>
        <w:t>本项目为交钥匙工程，投标人在投标前默认到招标方现场实地查看包括但不限于设备、网络等实际情况，本次报价</w:t>
      </w:r>
      <w:r>
        <w:rPr>
          <w:rFonts w:hint="eastAsia"/>
          <w:sz w:val="24"/>
        </w:rPr>
        <w:t>包含软件</w:t>
      </w:r>
      <w:r>
        <w:rPr>
          <w:sz w:val="24"/>
        </w:rPr>
        <w:t>、</w:t>
      </w:r>
      <w:r>
        <w:rPr>
          <w:rFonts w:hint="eastAsia"/>
          <w:sz w:val="24"/>
        </w:rPr>
        <w:t>硬件配置、安装调试、人员培训、</w:t>
      </w:r>
      <w:r>
        <w:rPr>
          <w:rFonts w:hint="eastAsia" w:eastAsia="宋体"/>
          <w:sz w:val="24"/>
        </w:rPr>
        <w:t>交验、质量保证</w:t>
      </w:r>
      <w:r>
        <w:rPr>
          <w:rFonts w:hint="eastAsia"/>
          <w:sz w:val="24"/>
        </w:rPr>
        <w:t>及</w:t>
      </w:r>
      <w:r>
        <w:rPr>
          <w:rFonts w:hint="eastAsia" w:eastAsia="宋体"/>
          <w:sz w:val="24"/>
        </w:rPr>
        <w:t>售后服务等</w:t>
      </w:r>
      <w:r>
        <w:rPr>
          <w:rFonts w:hint="eastAsia"/>
          <w:sz w:val="24"/>
        </w:rPr>
        <w:t>，此外，招标方不再支付任何费用</w:t>
      </w:r>
      <w:r>
        <w:rPr>
          <w:rFonts w:hint="eastAsia" w:eastAsia="宋体"/>
          <w:sz w:val="24"/>
        </w:rPr>
        <w:t>。</w:t>
      </w:r>
    </w:p>
    <w:p>
      <w:pPr>
        <w:spacing w:line="360" w:lineRule="auto"/>
        <w:ind w:firstLine="480" w:firstLineChars="200"/>
      </w:pPr>
      <w:r>
        <w:rPr>
          <w:rFonts w:hint="eastAsia" w:eastAsia="宋体"/>
          <w:sz w:val="24"/>
        </w:rPr>
        <w:t>各项费用列清明细。</w:t>
      </w:r>
    </w:p>
    <w:p>
      <w:pPr>
        <w:spacing w:line="360" w:lineRule="auto"/>
        <w:ind w:firstLine="480" w:firstLineChars="200"/>
        <w:rPr>
          <w:rFonts w:eastAsia="宋体"/>
          <w:sz w:val="24"/>
        </w:rPr>
      </w:pPr>
      <w:r>
        <w:rPr>
          <w:rFonts w:hint="eastAsia" w:eastAsia="宋体"/>
          <w:sz w:val="24"/>
        </w:rPr>
        <w:t>4. 付款方式：3：6：1</w:t>
      </w:r>
    </w:p>
    <w:p>
      <w:pPr>
        <w:spacing w:line="360" w:lineRule="auto"/>
        <w:ind w:firstLine="480" w:firstLineChars="200"/>
        <w:rPr>
          <w:rFonts w:eastAsia="宋体"/>
          <w:sz w:val="24"/>
        </w:rPr>
      </w:pPr>
      <w:r>
        <w:rPr>
          <w:rFonts w:hint="eastAsia" w:eastAsia="宋体"/>
          <w:sz w:val="24"/>
        </w:rPr>
        <w:t>（1）第一次付款：</w:t>
      </w:r>
    </w:p>
    <w:p>
      <w:pPr>
        <w:spacing w:line="360" w:lineRule="auto"/>
        <w:ind w:firstLine="480" w:firstLineChars="200"/>
        <w:rPr>
          <w:rFonts w:eastAsia="宋体"/>
          <w:sz w:val="24"/>
        </w:rPr>
      </w:pPr>
      <w:r>
        <w:rPr>
          <w:rFonts w:hint="eastAsia" w:eastAsia="宋体"/>
          <w:sz w:val="24"/>
        </w:rPr>
        <w:t>预付合同金额的30%，合同签订后，在招标方收到投标方10%的履约保证金后20天内支付给投标方：</w:t>
      </w:r>
    </w:p>
    <w:p>
      <w:pPr>
        <w:spacing w:line="360" w:lineRule="auto"/>
        <w:ind w:firstLine="480" w:firstLineChars="200"/>
        <w:rPr>
          <w:rFonts w:eastAsia="宋体"/>
          <w:sz w:val="24"/>
        </w:rPr>
      </w:pPr>
      <w:r>
        <w:rPr>
          <w:rFonts w:hint="eastAsia" w:eastAsia="宋体"/>
          <w:sz w:val="24"/>
        </w:rPr>
        <w:t>（2）第二次付款：</w:t>
      </w:r>
    </w:p>
    <w:p>
      <w:pPr>
        <w:spacing w:line="360" w:lineRule="auto"/>
        <w:ind w:firstLine="480" w:firstLineChars="200"/>
        <w:rPr>
          <w:rFonts w:eastAsia="宋体"/>
          <w:sz w:val="24"/>
        </w:rPr>
      </w:pPr>
      <w:r>
        <w:rPr>
          <w:rFonts w:hint="eastAsia" w:eastAsia="宋体"/>
          <w:sz w:val="24"/>
        </w:rPr>
        <w:t>系统正常运行</w:t>
      </w:r>
      <w:r>
        <w:rPr>
          <w:rFonts w:hint="eastAsia" w:eastAsia="宋体"/>
          <w:sz w:val="24"/>
          <w:lang w:val="en-US" w:eastAsia="zh-CN"/>
        </w:rPr>
        <w:t>1</w:t>
      </w:r>
      <w:r>
        <w:rPr>
          <w:rFonts w:hint="eastAsia" w:eastAsia="宋体"/>
          <w:sz w:val="24"/>
        </w:rPr>
        <w:t>个月后，双方约定时间验收，经综合验收合格且招标方收到100%合同金额增值税专用发票原件后，在20天内支付合同金额的60%给投标方，同时退还10%的履约保证金。</w:t>
      </w:r>
    </w:p>
    <w:p>
      <w:pPr>
        <w:spacing w:line="360" w:lineRule="auto"/>
        <w:ind w:firstLine="480" w:firstLineChars="200"/>
        <w:rPr>
          <w:rFonts w:eastAsia="宋体"/>
          <w:sz w:val="24"/>
        </w:rPr>
      </w:pPr>
      <w:r>
        <w:rPr>
          <w:rFonts w:hint="eastAsia" w:eastAsia="宋体"/>
          <w:sz w:val="24"/>
        </w:rPr>
        <w:t>（3）第三次付款：</w:t>
      </w:r>
    </w:p>
    <w:p>
      <w:pPr>
        <w:spacing w:line="360" w:lineRule="auto"/>
        <w:ind w:firstLine="480" w:firstLineChars="200"/>
        <w:rPr>
          <w:rFonts w:eastAsia="宋体"/>
          <w:sz w:val="24"/>
        </w:rPr>
      </w:pPr>
      <w:r>
        <w:rPr>
          <w:rFonts w:hint="eastAsia" w:eastAsia="宋体"/>
          <w:sz w:val="24"/>
        </w:rPr>
        <w:t>余款10%，质量保证期到期后，无遗留问题，一次性无息支付。</w:t>
      </w:r>
    </w:p>
    <w:p>
      <w:pPr>
        <w:spacing w:line="360" w:lineRule="auto"/>
        <w:ind w:firstLine="480" w:firstLineChars="200"/>
        <w:rPr>
          <w:sz w:val="24"/>
        </w:rPr>
      </w:pPr>
      <w:r>
        <w:rPr>
          <w:rFonts w:hint="eastAsia"/>
          <w:sz w:val="24"/>
        </w:rPr>
        <w:t>5. 投标书密封袋内装投标文件正本1份副本4份，封口处应有投标全权代表的签字及投标单位公章。封皮上写明招标编号、招标项目名称、投标方名称、地址、联系方式、联系电话，并注明“开标时启封”字样。</w:t>
      </w:r>
    </w:p>
    <w:p>
      <w:pPr>
        <w:spacing w:line="360" w:lineRule="auto"/>
        <w:ind w:firstLine="480" w:firstLineChars="200"/>
        <w:rPr>
          <w:sz w:val="24"/>
        </w:rPr>
      </w:pPr>
      <w:r>
        <w:rPr>
          <w:rFonts w:hint="eastAsia"/>
          <w:sz w:val="24"/>
        </w:rPr>
        <w:t xml:space="preserve">如采用邮寄方式寄送招标文件，应按要求将全部投标文件（投标书密封袋、资格证明文件及投标方认为有必要提交的其他资料）包装完好，封皮上写明招标方邮政编码、名称、地址、招标编号、投标方名称、地址、电话、邮政编码、投寄人。   </w:t>
      </w:r>
    </w:p>
    <w:p>
      <w:pPr>
        <w:spacing w:line="360" w:lineRule="auto"/>
        <w:ind w:firstLine="480" w:firstLineChars="200"/>
        <w:rPr>
          <w:sz w:val="24"/>
        </w:rPr>
      </w:pPr>
      <w:r>
        <w:rPr>
          <w:rFonts w:hint="eastAsia"/>
          <w:sz w:val="24"/>
        </w:rPr>
        <w:t>提交项目的技术规范应与招标文件规定的技术规范和技术规范附件及其投标文件的规格偏差表相一致。若技术规范中无相应说明，则以国家有关部门最新颁布的相应标准及规范为准。软件如果有自有专利技术的应用，需提交相应的专利复印件并盖鲜章。</w:t>
      </w:r>
    </w:p>
    <w:p>
      <w:pPr>
        <w:spacing w:line="360" w:lineRule="auto"/>
        <w:ind w:firstLine="480" w:firstLineChars="200"/>
        <w:rPr>
          <w:rFonts w:hint="eastAsia"/>
          <w:sz w:val="24"/>
        </w:rPr>
      </w:pPr>
      <w:r>
        <w:rPr>
          <w:rFonts w:hint="eastAsia"/>
          <w:sz w:val="24"/>
        </w:rPr>
        <w:t>6. 招标邀请的标题：重庆标准件工业有限责任公司汽标公司PLM项目</w:t>
      </w:r>
    </w:p>
    <w:p>
      <w:pPr>
        <w:spacing w:line="360" w:lineRule="auto"/>
        <w:ind w:firstLine="480" w:firstLineChars="200"/>
        <w:rPr>
          <w:rFonts w:hint="default"/>
          <w:sz w:val="24"/>
          <w:lang w:val="en-US"/>
        </w:rPr>
      </w:pPr>
      <w:r>
        <w:rPr>
          <w:rFonts w:hint="eastAsia"/>
          <w:sz w:val="24"/>
        </w:rPr>
        <w:t xml:space="preserve">   招标编号：CFIC202</w:t>
      </w:r>
      <w:r>
        <w:rPr>
          <w:rFonts w:hint="eastAsia"/>
          <w:sz w:val="24"/>
          <w:lang w:val="en-US" w:eastAsia="zh-CN"/>
        </w:rPr>
        <w:t>4</w:t>
      </w:r>
      <w:r>
        <w:rPr>
          <w:rFonts w:hint="eastAsia"/>
          <w:sz w:val="24"/>
        </w:rPr>
        <w:t>-</w:t>
      </w:r>
      <w:r>
        <w:rPr>
          <w:rFonts w:hint="eastAsia"/>
          <w:sz w:val="24"/>
          <w:lang w:val="en-US" w:eastAsia="zh-CN"/>
        </w:rPr>
        <w:t>LHZ0401</w:t>
      </w:r>
    </w:p>
    <w:p>
      <w:pPr>
        <w:spacing w:line="360" w:lineRule="auto"/>
        <w:ind w:firstLine="480" w:firstLineChars="200"/>
        <w:rPr>
          <w:rFonts w:hint="eastAsia"/>
          <w:sz w:val="24"/>
        </w:rPr>
      </w:pPr>
      <w:r>
        <w:rPr>
          <w:rFonts w:hint="eastAsia"/>
          <w:sz w:val="24"/>
        </w:rPr>
        <w:t>7. 招标文件答疑：重庆标准件工业有限责任公司规划发展部</w:t>
      </w:r>
      <w:r>
        <w:rPr>
          <w:rFonts w:hint="eastAsia"/>
          <w:sz w:val="24"/>
          <w:lang w:eastAsia="zh-CN"/>
        </w:rPr>
        <w:t>，</w:t>
      </w:r>
      <w:r>
        <w:rPr>
          <w:rFonts w:hint="eastAsia"/>
          <w:sz w:val="24"/>
          <w:lang w:val="en-US" w:eastAsia="zh-CN"/>
        </w:rPr>
        <w:t>江老师</w:t>
      </w:r>
      <w:r>
        <w:rPr>
          <w:rFonts w:hint="eastAsia"/>
          <w:sz w:val="24"/>
        </w:rPr>
        <w:t xml:space="preserve"> 023-8557803</w:t>
      </w:r>
      <w:r>
        <w:rPr>
          <w:rFonts w:hint="eastAsia" w:eastAsia="宋体"/>
          <w:sz w:val="24"/>
          <w:lang w:val="en-US" w:eastAsia="zh-CN"/>
        </w:rPr>
        <w:t>3</w:t>
      </w:r>
      <w:r>
        <w:rPr>
          <w:rFonts w:hint="eastAsia"/>
          <w:sz w:val="24"/>
        </w:rPr>
        <w:t xml:space="preserve">         </w:t>
      </w:r>
    </w:p>
    <w:p>
      <w:pPr>
        <w:spacing w:line="360" w:lineRule="auto"/>
        <w:ind w:firstLine="480" w:firstLineChars="200"/>
        <w:rPr>
          <w:rFonts w:hint="eastAsia"/>
          <w:sz w:val="24"/>
        </w:rPr>
      </w:pPr>
      <w:r>
        <w:rPr>
          <w:rFonts w:hint="eastAsia"/>
          <w:sz w:val="24"/>
        </w:rPr>
        <w:t>8. 投标文件递交至：江津区双福工业园祥福路9号重庆标准件工业有限责任公司纪检审计部</w:t>
      </w:r>
      <w:r>
        <w:rPr>
          <w:rFonts w:hint="eastAsia"/>
          <w:sz w:val="24"/>
          <w:lang w:val="en-US" w:eastAsia="zh-CN"/>
        </w:rPr>
        <w:t>413</w:t>
      </w:r>
      <w:r>
        <w:rPr>
          <w:rFonts w:hint="eastAsia"/>
          <w:sz w:val="24"/>
        </w:rPr>
        <w:t xml:space="preserve">室 </w:t>
      </w:r>
    </w:p>
    <w:p>
      <w:pPr>
        <w:spacing w:line="360" w:lineRule="auto"/>
        <w:ind w:firstLine="480" w:firstLineChars="200"/>
        <w:rPr>
          <w:sz w:val="24"/>
        </w:rPr>
      </w:pPr>
      <w:r>
        <w:rPr>
          <w:rFonts w:hint="eastAsia"/>
          <w:sz w:val="24"/>
        </w:rPr>
        <w:t>9. 投标截止时间：</w:t>
      </w:r>
      <w:r>
        <w:rPr>
          <w:rFonts w:hint="eastAsia" w:ascii="宋体" w:hAnsi="宋体" w:eastAsia="宋体" w:cs="宋体"/>
          <w:sz w:val="24"/>
        </w:rPr>
        <w:t>2024年</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23</w:t>
      </w:r>
      <w:r>
        <w:rPr>
          <w:rFonts w:hint="eastAsia" w:ascii="宋体" w:hAnsi="宋体" w:eastAsia="宋体" w:cs="宋体"/>
          <w:sz w:val="24"/>
        </w:rPr>
        <w:t>日</w:t>
      </w:r>
      <w:r>
        <w:rPr>
          <w:rFonts w:hint="eastAsia" w:ascii="宋体" w:hAnsi="宋体" w:eastAsia="宋体" w:cs="宋体"/>
          <w:sz w:val="24"/>
          <w:lang w:val="en-US" w:eastAsia="zh-CN"/>
        </w:rPr>
        <w:t>17:00</w:t>
      </w:r>
      <w:r>
        <w:rPr>
          <w:rFonts w:hint="eastAsia" w:ascii="宋体" w:hAnsi="宋体" w:eastAsia="宋体" w:cs="宋体"/>
          <w:sz w:val="24"/>
        </w:rPr>
        <w:t>（北京时间）</w:t>
      </w:r>
    </w:p>
    <w:p>
      <w:pPr>
        <w:spacing w:line="360" w:lineRule="auto"/>
        <w:ind w:firstLine="480" w:firstLineChars="200"/>
        <w:rPr>
          <w:rFonts w:eastAsiaTheme="minorEastAsia"/>
          <w:sz w:val="24"/>
        </w:rPr>
      </w:pPr>
      <w:r>
        <w:rPr>
          <w:rFonts w:hint="eastAsia"/>
          <w:sz w:val="24"/>
        </w:rPr>
        <w:t>10. 开标评标地点：</w:t>
      </w:r>
      <w:r>
        <w:rPr>
          <w:rFonts w:hint="eastAsia" w:eastAsia="宋体"/>
          <w:sz w:val="24"/>
          <w:lang w:val="en-US" w:eastAsia="zh-CN"/>
        </w:rPr>
        <w:t>重庆标准件工业有限责任公司会议室</w:t>
      </w:r>
      <w:r>
        <w:rPr>
          <w:rFonts w:hint="eastAsia" w:eastAsiaTheme="minorEastAsia"/>
          <w:sz w:val="24"/>
        </w:rPr>
        <w:t xml:space="preserve"> </w:t>
      </w:r>
    </w:p>
    <w:p>
      <w:pPr>
        <w:spacing w:line="360" w:lineRule="auto"/>
        <w:ind w:firstLine="480" w:firstLineChars="200"/>
        <w:rPr>
          <w:sz w:val="24"/>
        </w:rPr>
      </w:pPr>
      <w:r>
        <w:rPr>
          <w:rFonts w:hint="eastAsia"/>
          <w:sz w:val="24"/>
        </w:rPr>
        <w:t>1</w:t>
      </w:r>
      <w:r>
        <w:rPr>
          <w:rFonts w:hint="eastAsia" w:eastAsia="宋体"/>
          <w:sz w:val="24"/>
          <w:lang w:val="en-US" w:eastAsia="zh-CN"/>
        </w:rPr>
        <w:t>1</w:t>
      </w:r>
      <w:r>
        <w:rPr>
          <w:rFonts w:hint="eastAsia"/>
          <w:sz w:val="24"/>
        </w:rPr>
        <w:t>. 评标方法：综合评价法（祥见附表一）</w:t>
      </w:r>
    </w:p>
    <w:p>
      <w:pPr>
        <w:spacing w:line="360" w:lineRule="auto"/>
        <w:ind w:firstLine="480" w:firstLineChars="200"/>
        <w:rPr>
          <w:rFonts w:eastAsiaTheme="minorEastAsia"/>
          <w:sz w:val="24"/>
        </w:rPr>
      </w:pPr>
      <w:r>
        <w:rPr>
          <w:rFonts w:hint="eastAsia"/>
          <w:sz w:val="24"/>
        </w:rPr>
        <w:t>1</w:t>
      </w:r>
      <w:r>
        <w:rPr>
          <w:rFonts w:hint="eastAsia" w:eastAsia="宋体"/>
          <w:sz w:val="24"/>
          <w:lang w:val="en-US" w:eastAsia="zh-CN"/>
        </w:rPr>
        <w:t>2</w:t>
      </w:r>
      <w:r>
        <w:rPr>
          <w:rFonts w:hint="eastAsia"/>
          <w:sz w:val="24"/>
        </w:rPr>
        <w:t>. 投标保证金：各投标单位在递送标书的同时，以银行转帐或电汇的方式向招标方指定单位帐户（重庆标准件工业有限责任公司；开户银行：建行九龙坡科园一路支行；银行账号：50001043600050023301）缴纳投标保证金：</w:t>
      </w:r>
      <w:r>
        <w:rPr>
          <w:rFonts w:hint="eastAsia" w:eastAsia="宋体"/>
          <w:sz w:val="24"/>
          <w:lang w:val="en-US" w:eastAsia="zh-CN"/>
        </w:rPr>
        <w:t>10000</w:t>
      </w:r>
      <w:r>
        <w:rPr>
          <w:rFonts w:hint="eastAsia"/>
          <w:sz w:val="24"/>
        </w:rPr>
        <w:t>元（</w:t>
      </w:r>
      <w:r>
        <w:rPr>
          <w:rFonts w:hint="eastAsia" w:eastAsia="宋体"/>
          <w:sz w:val="24"/>
          <w:lang w:eastAsia="zh-CN"/>
        </w:rPr>
        <w:t>壹万元整</w:t>
      </w:r>
      <w:r>
        <w:rPr>
          <w:rFonts w:hint="eastAsia" w:eastAsiaTheme="minorEastAsia"/>
          <w:sz w:val="24"/>
        </w:rPr>
        <w:t xml:space="preserve"> </w:t>
      </w:r>
      <w:r>
        <w:rPr>
          <w:rFonts w:hint="eastAsia"/>
          <w:sz w:val="24"/>
        </w:rPr>
        <w:t>），不接受银行担保函。未中标单位的投标保证金在中标单位签定采购合同后5个工作日内，以银行转帐或电汇方式退还；中标单位的投标保证金自动转为履约保证金。如中标单位未按时签定采购合同，视为放弃中标资格，投标保证金或履约保证金不予退还。所有投标保证金不计算利息。</w:t>
      </w:r>
    </w:p>
    <w:p>
      <w:pPr>
        <w:spacing w:line="360" w:lineRule="auto"/>
        <w:ind w:firstLine="480" w:firstLineChars="200"/>
        <w:rPr>
          <w:sz w:val="24"/>
        </w:rPr>
      </w:pPr>
      <w:bookmarkStart w:id="45" w:name="OLE_LINK1"/>
      <w:bookmarkStart w:id="46" w:name="OLE_LINK2"/>
      <w:r>
        <w:rPr>
          <w:rFonts w:hint="eastAsia"/>
          <w:sz w:val="24"/>
        </w:rPr>
        <w:t>1</w:t>
      </w:r>
      <w:r>
        <w:rPr>
          <w:rFonts w:hint="eastAsia" w:eastAsia="宋体"/>
          <w:sz w:val="24"/>
          <w:lang w:val="en-US" w:eastAsia="zh-CN"/>
        </w:rPr>
        <w:t>3</w:t>
      </w:r>
      <w:r>
        <w:rPr>
          <w:sz w:val="24"/>
        </w:rPr>
        <w:t>.</w:t>
      </w:r>
      <w:r>
        <w:rPr>
          <w:rFonts w:hint="eastAsia"/>
          <w:sz w:val="24"/>
        </w:rPr>
        <w:t xml:space="preserve"> 合同签订：投标方收到《中标通知书》，即与重庆</w:t>
      </w:r>
      <w:r>
        <w:rPr>
          <w:rFonts w:hint="eastAsia" w:eastAsia="宋体"/>
          <w:sz w:val="24"/>
        </w:rPr>
        <w:t>汽车</w:t>
      </w:r>
      <w:r>
        <w:rPr>
          <w:rFonts w:hint="eastAsia"/>
          <w:sz w:val="24"/>
        </w:rPr>
        <w:t>标准件</w:t>
      </w:r>
      <w:r>
        <w:rPr>
          <w:rFonts w:hint="eastAsia" w:eastAsia="宋体"/>
          <w:sz w:val="24"/>
        </w:rPr>
        <w:t>厂</w:t>
      </w:r>
      <w:r>
        <w:rPr>
          <w:rFonts w:hint="eastAsia"/>
          <w:sz w:val="24"/>
        </w:rPr>
        <w:t>有限责任公司签订采购合同。投标方逾期未签订协议视为自动放弃，其投标保证金我公司不予退回。</w:t>
      </w:r>
      <w:bookmarkEnd w:id="45"/>
      <w:bookmarkEnd w:id="46"/>
    </w:p>
    <w:p>
      <w:pPr>
        <w:spacing w:line="360" w:lineRule="auto"/>
        <w:ind w:firstLine="480" w:firstLineChars="200"/>
        <w:rPr>
          <w:b/>
          <w:bCs/>
          <w:sz w:val="24"/>
        </w:rPr>
      </w:pPr>
      <w:r>
        <w:rPr>
          <w:rFonts w:hint="eastAsia"/>
          <w:b/>
          <w:bCs/>
          <w:sz w:val="24"/>
        </w:rPr>
        <w:t>五、投标文件的组成及填写说明</w:t>
      </w:r>
    </w:p>
    <w:p>
      <w:pPr>
        <w:spacing w:line="360" w:lineRule="auto"/>
        <w:ind w:firstLine="480" w:firstLineChars="200"/>
        <w:rPr>
          <w:sz w:val="24"/>
        </w:rPr>
      </w:pPr>
      <w:r>
        <w:rPr>
          <w:rFonts w:hint="eastAsia"/>
          <w:sz w:val="24"/>
        </w:rPr>
        <w:t>（一）投标文件包括但不限于下列内容：</w:t>
      </w:r>
    </w:p>
    <w:p>
      <w:pPr>
        <w:spacing w:line="360" w:lineRule="auto"/>
        <w:ind w:firstLine="480" w:firstLineChars="200"/>
        <w:rPr>
          <w:sz w:val="24"/>
        </w:rPr>
      </w:pPr>
      <w:r>
        <w:rPr>
          <w:sz w:val="24"/>
        </w:rPr>
        <w:t>（1）投标函</w:t>
      </w:r>
    </w:p>
    <w:p>
      <w:pPr>
        <w:spacing w:line="360" w:lineRule="auto"/>
        <w:ind w:firstLine="480" w:firstLineChars="200"/>
        <w:rPr>
          <w:sz w:val="24"/>
        </w:rPr>
      </w:pPr>
      <w:r>
        <w:rPr>
          <w:sz w:val="24"/>
        </w:rPr>
        <w:t>（2）开标一览表</w:t>
      </w:r>
      <w:r>
        <w:rPr>
          <w:rFonts w:hint="eastAsia"/>
          <w:sz w:val="24"/>
        </w:rPr>
        <w:t>（投标声明，如果有）</w:t>
      </w:r>
    </w:p>
    <w:p>
      <w:pPr>
        <w:spacing w:line="360" w:lineRule="auto"/>
        <w:ind w:firstLine="480" w:firstLineChars="200"/>
        <w:rPr>
          <w:sz w:val="24"/>
        </w:rPr>
      </w:pPr>
      <w:r>
        <w:rPr>
          <w:rFonts w:hint="eastAsia"/>
          <w:sz w:val="24"/>
        </w:rPr>
        <w:t>（3）</w:t>
      </w:r>
      <w:r>
        <w:rPr>
          <w:sz w:val="24"/>
        </w:rPr>
        <w:t>商务</w:t>
      </w:r>
      <w:r>
        <w:rPr>
          <w:rFonts w:hint="eastAsia"/>
          <w:sz w:val="24"/>
        </w:rPr>
        <w:t>条款响应/</w:t>
      </w:r>
      <w:r>
        <w:rPr>
          <w:sz w:val="24"/>
        </w:rPr>
        <w:t>偏离表</w:t>
      </w:r>
    </w:p>
    <w:p>
      <w:pPr>
        <w:spacing w:line="360" w:lineRule="auto"/>
        <w:ind w:firstLine="480" w:firstLineChars="200"/>
        <w:rPr>
          <w:sz w:val="24"/>
        </w:rPr>
      </w:pPr>
      <w:r>
        <w:rPr>
          <w:rFonts w:hint="eastAsia"/>
          <w:sz w:val="24"/>
        </w:rPr>
        <w:t>（4）技术规格响应/偏离表</w:t>
      </w:r>
    </w:p>
    <w:p>
      <w:pPr>
        <w:spacing w:line="360" w:lineRule="auto"/>
        <w:ind w:firstLine="480" w:firstLineChars="200"/>
        <w:rPr>
          <w:sz w:val="24"/>
        </w:rPr>
      </w:pPr>
      <w:r>
        <w:rPr>
          <w:sz w:val="24"/>
        </w:rPr>
        <w:t>（</w:t>
      </w:r>
      <w:r>
        <w:rPr>
          <w:rFonts w:hint="eastAsia"/>
          <w:sz w:val="24"/>
        </w:rPr>
        <w:t>5</w:t>
      </w:r>
      <w:r>
        <w:rPr>
          <w:sz w:val="24"/>
        </w:rPr>
        <w:t>）</w:t>
      </w:r>
      <w:r>
        <w:rPr>
          <w:rFonts w:hint="eastAsia"/>
          <w:sz w:val="24"/>
        </w:rPr>
        <w:t>投标文件附件，投标文件应有</w:t>
      </w:r>
      <w:r>
        <w:rPr>
          <w:sz w:val="24"/>
        </w:rPr>
        <w:t>详细的</w:t>
      </w:r>
      <w:r>
        <w:rPr>
          <w:rFonts w:hint="eastAsia"/>
          <w:sz w:val="24"/>
        </w:rPr>
        <w:t>项目实施方案（方案需明确制定出项目实施进度计划、项目管控控制、奖惩方案、培训计划等）。</w:t>
      </w:r>
    </w:p>
    <w:p>
      <w:pPr>
        <w:spacing w:line="360" w:lineRule="auto"/>
        <w:ind w:firstLine="480" w:firstLineChars="200"/>
        <w:rPr>
          <w:sz w:val="24"/>
        </w:rPr>
      </w:pPr>
      <w:r>
        <w:rPr>
          <w:rFonts w:hint="eastAsia"/>
          <w:sz w:val="24"/>
        </w:rPr>
        <w:t>（二）</w:t>
      </w:r>
      <w:r>
        <w:rPr>
          <w:sz w:val="24"/>
        </w:rPr>
        <w:t>资格</w:t>
      </w:r>
      <w:r>
        <w:rPr>
          <w:rFonts w:hint="eastAsia"/>
          <w:sz w:val="24"/>
        </w:rPr>
        <w:t>和业绩</w:t>
      </w:r>
      <w:r>
        <w:rPr>
          <w:sz w:val="24"/>
        </w:rPr>
        <w:t>证明文件包括</w:t>
      </w:r>
      <w:r>
        <w:rPr>
          <w:rFonts w:hint="eastAsia"/>
          <w:sz w:val="24"/>
        </w:rPr>
        <w:t>但不限于下列内容</w:t>
      </w:r>
      <w:r>
        <w:rPr>
          <w:sz w:val="24"/>
        </w:rPr>
        <w:t>：</w:t>
      </w:r>
    </w:p>
    <w:p>
      <w:pPr>
        <w:spacing w:line="360" w:lineRule="auto"/>
        <w:ind w:firstLine="480" w:firstLineChars="200"/>
        <w:rPr>
          <w:sz w:val="24"/>
        </w:rPr>
      </w:pPr>
      <w:r>
        <w:rPr>
          <w:rFonts w:hint="eastAsia"/>
          <w:sz w:val="24"/>
        </w:rPr>
        <w:t xml:space="preserve">1. </w:t>
      </w:r>
      <w:r>
        <w:rPr>
          <w:sz w:val="24"/>
        </w:rPr>
        <w:t>营业执照</w:t>
      </w:r>
      <w:r>
        <w:rPr>
          <w:rFonts w:hint="eastAsia"/>
          <w:sz w:val="24"/>
        </w:rPr>
        <w:t>（复印件）</w:t>
      </w:r>
    </w:p>
    <w:p>
      <w:pPr>
        <w:spacing w:line="360" w:lineRule="auto"/>
        <w:ind w:firstLine="480" w:firstLineChars="200"/>
        <w:rPr>
          <w:sz w:val="24"/>
        </w:rPr>
      </w:pPr>
      <w:r>
        <w:rPr>
          <w:rFonts w:hint="eastAsia"/>
          <w:sz w:val="24"/>
        </w:rPr>
        <w:t xml:space="preserve">2. </w:t>
      </w:r>
      <w:r>
        <w:rPr>
          <w:sz w:val="24"/>
        </w:rPr>
        <w:t>法定代表人授权委托书及法定代表人身份证明</w:t>
      </w:r>
      <w:r>
        <w:rPr>
          <w:rFonts w:hint="eastAsia"/>
          <w:sz w:val="24"/>
        </w:rPr>
        <w:t>。</w:t>
      </w:r>
    </w:p>
    <w:p>
      <w:pPr>
        <w:spacing w:line="360" w:lineRule="auto"/>
        <w:ind w:firstLine="480" w:firstLineChars="200"/>
        <w:rPr>
          <w:sz w:val="24"/>
        </w:rPr>
      </w:pPr>
      <w:bookmarkStart w:id="47" w:name="_Toc141675384"/>
      <w:bookmarkStart w:id="48" w:name="_Toc279755995"/>
      <w:r>
        <w:rPr>
          <w:rFonts w:hint="eastAsia"/>
          <w:sz w:val="24"/>
        </w:rPr>
        <w:t>（三）投标文件填写说明</w:t>
      </w:r>
      <w:bookmarkEnd w:id="47"/>
      <w:bookmarkEnd w:id="48"/>
    </w:p>
    <w:p>
      <w:pPr>
        <w:spacing w:line="360" w:lineRule="auto"/>
        <w:ind w:firstLine="480" w:firstLineChars="200"/>
        <w:rPr>
          <w:sz w:val="24"/>
        </w:rPr>
      </w:pPr>
      <w:r>
        <w:rPr>
          <w:rFonts w:hint="eastAsia"/>
          <w:sz w:val="24"/>
        </w:rPr>
        <w:t>投标文件用</w:t>
      </w:r>
      <w:r>
        <w:rPr>
          <w:sz w:val="24"/>
        </w:rPr>
        <w:t>A4</w:t>
      </w:r>
      <w:r>
        <w:rPr>
          <w:rFonts w:hint="eastAsia"/>
          <w:sz w:val="24"/>
        </w:rPr>
        <w:t>幅面按统一格式填写，装订成册。</w:t>
      </w:r>
      <w:bookmarkStart w:id="49" w:name="_Toc141675385"/>
      <w:bookmarkStart w:id="50" w:name="_Toc279755996"/>
    </w:p>
    <w:p>
      <w:pPr>
        <w:tabs>
          <w:tab w:val="left" w:pos="630"/>
          <w:tab w:val="left" w:pos="1050"/>
          <w:tab w:val="left" w:pos="1200"/>
          <w:tab w:val="left" w:pos="1470"/>
        </w:tabs>
        <w:spacing w:line="360" w:lineRule="auto"/>
        <w:rPr>
          <w:rFonts w:ascii="黑体" w:hAnsi="黑体" w:eastAsia="黑体"/>
          <w:b/>
          <w:sz w:val="28"/>
          <w:szCs w:val="28"/>
        </w:rPr>
      </w:pPr>
      <w:r>
        <w:rPr>
          <w:color w:val="0000FF"/>
          <w:sz w:val="24"/>
        </w:rPr>
        <w:br w:type="page"/>
      </w:r>
      <w:bookmarkEnd w:id="49"/>
      <w:bookmarkEnd w:id="50"/>
      <w:r>
        <w:rPr>
          <w:rFonts w:hint="eastAsia" w:ascii="黑体" w:hAnsi="黑体" w:eastAsia="黑体"/>
          <w:b/>
          <w:sz w:val="28"/>
          <w:szCs w:val="28"/>
        </w:rPr>
        <w:t xml:space="preserve">附表一： </w:t>
      </w:r>
    </w:p>
    <w:p>
      <w:pPr>
        <w:pStyle w:val="19"/>
        <w:rPr>
          <w:rFonts w:eastAsiaTheme="minorEastAsia"/>
        </w:rPr>
      </w:pPr>
      <w:r>
        <w:rPr>
          <w:rFonts w:hint="eastAsia"/>
        </w:rPr>
        <w:t>评标方法附表</w:t>
      </w:r>
    </w:p>
    <w:p>
      <w:pPr>
        <w:pStyle w:val="19"/>
        <w:rPr>
          <w:highlight w:val="yellow"/>
        </w:rPr>
      </w:pPr>
    </w:p>
    <w:tbl>
      <w:tblPr>
        <w:tblStyle w:val="16"/>
        <w:tblW w:w="10073"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1"/>
        <w:gridCol w:w="1003"/>
        <w:gridCol w:w="1644"/>
        <w:gridCol w:w="1038"/>
        <w:gridCol w:w="55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84"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hAnsi="宋体"/>
                <w:b/>
                <w:color w:val="000000"/>
                <w:sz w:val="24"/>
              </w:rPr>
            </w:pPr>
            <w:r>
              <w:rPr>
                <w:rFonts w:ascii="宋体" w:hAnsi="宋体"/>
                <w:b/>
                <w:color w:val="000000"/>
                <w:sz w:val="24"/>
              </w:rPr>
              <w:t>条款号</w:t>
            </w: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color w:val="000000"/>
                <w:sz w:val="24"/>
              </w:rPr>
            </w:pPr>
            <w:r>
              <w:rPr>
                <w:rFonts w:ascii="宋体" w:hAnsi="宋体"/>
                <w:b/>
                <w:color w:val="000000"/>
                <w:sz w:val="24"/>
              </w:rPr>
              <w:t>评审因素</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color w:val="000000"/>
                <w:sz w:val="24"/>
              </w:rPr>
            </w:pPr>
            <w:r>
              <w:rPr>
                <w:rFonts w:ascii="宋体" w:hAnsi="宋体"/>
                <w:b/>
                <w:color w:val="000000"/>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restart"/>
            <w:tcBorders>
              <w:top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1.1</w:t>
            </w:r>
          </w:p>
        </w:tc>
        <w:tc>
          <w:tcPr>
            <w:tcW w:w="1003" w:type="dxa"/>
            <w:vMerge w:val="restart"/>
            <w:tcBorders>
              <w:top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形式评审标准</w:t>
            </w: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投标</w:t>
            </w:r>
            <w:r>
              <w:rPr>
                <w:rFonts w:hint="eastAsia" w:ascii="宋体" w:hAnsi="宋体"/>
                <w:color w:val="000000"/>
                <w:sz w:val="24"/>
              </w:rPr>
              <w:t>保证金</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color w:val="000000"/>
                <w:sz w:val="24"/>
              </w:rPr>
              <w:t>投标保证金必须是从投标方的银行基本账户汇出，足额、按时到达招标文件指定的银行账户上。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right w:val="single" w:color="auto" w:sz="4" w:space="0"/>
            </w:tcBorders>
            <w:vAlign w:val="center"/>
          </w:tcPr>
          <w:p>
            <w:pPr>
              <w:spacing w:line="440" w:lineRule="exact"/>
              <w:jc w:val="center"/>
              <w:rPr>
                <w:rFonts w:ascii="宋体" w:hAnsi="宋体"/>
                <w:color w:val="000000"/>
                <w:sz w:val="24"/>
              </w:rPr>
            </w:pPr>
          </w:p>
        </w:tc>
        <w:tc>
          <w:tcPr>
            <w:tcW w:w="1003" w:type="dxa"/>
            <w:vMerge w:val="continue"/>
            <w:tcBorders>
              <w:right w:val="single" w:color="auto" w:sz="4" w:space="0"/>
            </w:tcBorders>
            <w:vAlign w:val="center"/>
          </w:tcPr>
          <w:p>
            <w:pPr>
              <w:spacing w:line="440" w:lineRule="exact"/>
              <w:jc w:val="center"/>
              <w:rPr>
                <w:rFonts w:ascii="宋体" w:hAnsi="宋体"/>
                <w:color w:val="000000"/>
                <w:sz w:val="24"/>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开标一览表</w:t>
            </w:r>
            <w:r>
              <w:rPr>
                <w:rFonts w:ascii="宋体" w:hAnsi="宋体"/>
                <w:color w:val="000000"/>
                <w:sz w:val="24"/>
              </w:rPr>
              <w:t>签字盖章</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ascii="宋体" w:hAnsi="宋体"/>
                <w:color w:val="000000"/>
                <w:sz w:val="24"/>
              </w:rPr>
              <w:t>有法定代表人或其委托代理人签字</w:t>
            </w:r>
            <w:r>
              <w:rPr>
                <w:rFonts w:hint="eastAsia" w:ascii="宋体" w:hAnsi="宋体"/>
                <w:color w:val="000000"/>
                <w:sz w:val="24"/>
              </w:rPr>
              <w:t>、</w:t>
            </w:r>
            <w:r>
              <w:rPr>
                <w:rFonts w:ascii="宋体" w:hAnsi="宋体"/>
                <w:color w:val="000000"/>
                <w:sz w:val="24"/>
              </w:rPr>
              <w:t>加盖单位</w:t>
            </w:r>
            <w:r>
              <w:rPr>
                <w:rFonts w:hint="eastAsia" w:ascii="宋体" w:hAnsi="宋体"/>
                <w:color w:val="000000"/>
                <w:sz w:val="24"/>
              </w:rPr>
              <w:t>公</w:t>
            </w:r>
            <w:r>
              <w:rPr>
                <w:rFonts w:ascii="宋体" w:hAnsi="宋体"/>
                <w:color w:val="000000"/>
                <w:sz w:val="24"/>
              </w:rPr>
              <w:t>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right w:val="single" w:color="auto" w:sz="4" w:space="0"/>
            </w:tcBorders>
            <w:vAlign w:val="center"/>
          </w:tcPr>
          <w:p>
            <w:pPr>
              <w:spacing w:line="440" w:lineRule="exact"/>
              <w:jc w:val="center"/>
              <w:rPr>
                <w:rFonts w:ascii="宋体" w:hAnsi="宋体"/>
                <w:color w:val="000000"/>
                <w:sz w:val="24"/>
              </w:rPr>
            </w:pPr>
          </w:p>
        </w:tc>
        <w:tc>
          <w:tcPr>
            <w:tcW w:w="1003" w:type="dxa"/>
            <w:vMerge w:val="continue"/>
            <w:tcBorders>
              <w:right w:val="single" w:color="auto" w:sz="4" w:space="0"/>
            </w:tcBorders>
            <w:vAlign w:val="center"/>
          </w:tcPr>
          <w:p>
            <w:pPr>
              <w:spacing w:line="440" w:lineRule="exact"/>
              <w:jc w:val="center"/>
              <w:rPr>
                <w:rFonts w:ascii="宋体" w:hAnsi="宋体"/>
                <w:color w:val="000000"/>
                <w:sz w:val="24"/>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投标文件的签署及盖章</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cs="宋体"/>
                <w:color w:val="000000"/>
                <w:kern w:val="0"/>
                <w:sz w:val="24"/>
              </w:rPr>
              <w:t>投标文件上法定代表人或其授权代理人的签字及盖章齐全。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right w:val="single" w:color="auto" w:sz="4" w:space="0"/>
            </w:tcBorders>
            <w:vAlign w:val="center"/>
          </w:tcPr>
          <w:p>
            <w:pPr>
              <w:spacing w:line="440" w:lineRule="exact"/>
              <w:jc w:val="center"/>
              <w:rPr>
                <w:rFonts w:ascii="宋体" w:hAnsi="宋体"/>
                <w:color w:val="000000"/>
                <w:sz w:val="24"/>
              </w:rPr>
            </w:pPr>
          </w:p>
        </w:tc>
        <w:tc>
          <w:tcPr>
            <w:tcW w:w="1003" w:type="dxa"/>
            <w:vMerge w:val="continue"/>
            <w:tcBorders>
              <w:right w:val="single" w:color="auto" w:sz="4" w:space="0"/>
            </w:tcBorders>
            <w:vAlign w:val="center"/>
          </w:tcPr>
          <w:p>
            <w:pPr>
              <w:spacing w:line="440" w:lineRule="exact"/>
              <w:jc w:val="center"/>
              <w:rPr>
                <w:rFonts w:ascii="宋体" w:hAnsi="宋体"/>
                <w:color w:val="000000"/>
                <w:sz w:val="24"/>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sz w:val="24"/>
              </w:rPr>
              <w:t>投标文件组成</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r>
              <w:rPr>
                <w:sz w:val="24"/>
              </w:rPr>
              <w:t>投标文件装订完好，内容齐全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003" w:type="dxa"/>
            <w:vMerge w:val="continue"/>
            <w:tcBorders>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报价唯一</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ascii="宋体" w:hAnsi="宋体"/>
                <w:color w:val="000000"/>
                <w:sz w:val="24"/>
              </w:rPr>
              <w:t>只能一个有效报价</w:t>
            </w:r>
            <w:r>
              <w:rPr>
                <w:rFonts w:hint="eastAsia" w:ascii="宋体" w:hAnsi="宋体"/>
                <w:color w:val="000000"/>
                <w:sz w:val="24"/>
              </w:rPr>
              <w:t>（含增值税）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1.2</w:t>
            </w:r>
          </w:p>
        </w:tc>
        <w:tc>
          <w:tcPr>
            <w:tcW w:w="1003"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资格评审标准</w:t>
            </w: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ascii="宋体" w:hAnsi="宋体"/>
                <w:color w:val="000000"/>
                <w:sz w:val="24"/>
              </w:rPr>
              <w:t>营业执照</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color w:val="000000"/>
                <w:sz w:val="24"/>
              </w:rPr>
              <w:t>提供</w:t>
            </w:r>
            <w:r>
              <w:rPr>
                <w:rFonts w:ascii="宋体" w:hAnsi="宋体"/>
                <w:color w:val="000000"/>
                <w:sz w:val="24"/>
              </w:rPr>
              <w:t>营业执照</w:t>
            </w:r>
            <w:r>
              <w:rPr>
                <w:rFonts w:hint="eastAsia" w:ascii="宋体" w:hAnsi="宋体"/>
                <w:color w:val="000000"/>
                <w:sz w:val="24"/>
              </w:rPr>
              <w:t>复印件加盖投标方单位公章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top w:val="nil"/>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003" w:type="dxa"/>
            <w:vMerge w:val="continue"/>
            <w:tcBorders>
              <w:top w:val="nil"/>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业绩要求</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ascii="宋体" w:hAnsi="宋体"/>
                <w:color w:val="000000"/>
                <w:sz w:val="24"/>
              </w:rPr>
              <w:t>符合</w:t>
            </w:r>
            <w:r>
              <w:rPr>
                <w:rFonts w:hint="eastAsia"/>
                <w:sz w:val="24"/>
              </w:rPr>
              <w:t>业绩要求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vMerge w:val="continue"/>
            <w:tcBorders>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1003" w:type="dxa"/>
            <w:vMerge w:val="continue"/>
            <w:tcBorders>
              <w:bottom w:val="single" w:color="auto" w:sz="4" w:space="0"/>
              <w:right w:val="single" w:color="auto" w:sz="4" w:space="0"/>
            </w:tcBorders>
            <w:vAlign w:val="center"/>
          </w:tcPr>
          <w:p>
            <w:pPr>
              <w:spacing w:line="440" w:lineRule="exact"/>
              <w:jc w:val="center"/>
              <w:rPr>
                <w:rFonts w:ascii="宋体" w:hAnsi="宋体"/>
                <w:color w:val="000000"/>
                <w:sz w:val="24"/>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投标文件</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sz w:val="24"/>
              </w:rPr>
            </w:pPr>
            <w:r>
              <w:rPr>
                <w:rFonts w:ascii="宋体" w:hAnsi="宋体"/>
                <w:color w:val="000000"/>
                <w:sz w:val="24"/>
              </w:rPr>
              <w:t>符合</w:t>
            </w:r>
            <w:r>
              <w:rPr>
                <w:rFonts w:hint="eastAsia"/>
                <w:sz w:val="24"/>
              </w:rPr>
              <w:t>投标文件的组成要求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1" w:type="dxa"/>
            <w:tcBorders>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1.3</w:t>
            </w:r>
          </w:p>
        </w:tc>
        <w:tc>
          <w:tcPr>
            <w:tcW w:w="1003" w:type="dxa"/>
            <w:tcBorders>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响应标准</w:t>
            </w: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最高限价</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000000"/>
                <w:sz w:val="24"/>
              </w:rPr>
            </w:pPr>
            <w:r>
              <w:rPr>
                <w:rFonts w:hint="eastAsia" w:ascii="宋体" w:hAnsi="宋体"/>
                <w:sz w:val="24"/>
              </w:rPr>
              <w:t>本项目最高限价为</w:t>
            </w:r>
            <w:r>
              <w:rPr>
                <w:rFonts w:hint="eastAsia" w:eastAsia="宋体"/>
                <w:sz w:val="24"/>
                <w:u w:val="single"/>
                <w:lang w:val="en-US" w:eastAsia="zh-CN"/>
              </w:rPr>
              <w:t>50</w:t>
            </w:r>
            <w:r>
              <w:rPr>
                <w:rFonts w:hint="eastAsia"/>
                <w:sz w:val="24"/>
                <w:u w:val="single"/>
              </w:rPr>
              <w:t>万</w:t>
            </w:r>
            <w:r>
              <w:rPr>
                <w:rFonts w:hint="eastAsia"/>
                <w:sz w:val="24"/>
              </w:rPr>
              <w:t>元，超过最高投标限价的投标为无效投标。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81" w:type="dxa"/>
            <w:vMerge w:val="restart"/>
            <w:tcBorders>
              <w:top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2.1.</w:t>
            </w:r>
          </w:p>
        </w:tc>
        <w:tc>
          <w:tcPr>
            <w:tcW w:w="1003" w:type="dxa"/>
            <w:vMerge w:val="restart"/>
            <w:tcBorders>
              <w:top w:val="single" w:color="auto" w:sz="4" w:space="0"/>
              <w:right w:val="single" w:color="auto" w:sz="4" w:space="0"/>
            </w:tcBorders>
            <w:vAlign w:val="center"/>
          </w:tcPr>
          <w:p>
            <w:pPr>
              <w:adjustRightInd w:val="0"/>
              <w:snapToGrid w:val="0"/>
              <w:spacing w:line="500" w:lineRule="atLeast"/>
              <w:rPr>
                <w:rFonts w:ascii="宋体" w:hAnsi="宋体"/>
                <w:color w:val="000000"/>
                <w:sz w:val="24"/>
              </w:rPr>
            </w:pPr>
            <w:r>
              <w:rPr>
                <w:rFonts w:ascii="宋体" w:hAnsi="宋体"/>
                <w:color w:val="000000"/>
                <w:sz w:val="24"/>
              </w:rPr>
              <w:t>分值构成</w:t>
            </w:r>
            <w:r>
              <w:rPr>
                <w:rFonts w:hint="eastAsia" w:ascii="宋体" w:hAnsi="宋体"/>
                <w:color w:val="000000"/>
                <w:sz w:val="24"/>
              </w:rPr>
              <w:t>(100分)</w:t>
            </w: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olor w:val="000000"/>
                <w:sz w:val="24"/>
              </w:rPr>
            </w:pPr>
            <w:r>
              <w:rPr>
                <w:rFonts w:hint="eastAsia" w:ascii="宋体" w:hAnsi="宋体"/>
                <w:color w:val="000000"/>
                <w:sz w:val="24"/>
              </w:rPr>
              <w:t>1、</w:t>
            </w:r>
            <w:r>
              <w:rPr>
                <w:rFonts w:ascii="宋体" w:hAnsi="宋体"/>
                <w:color w:val="000000"/>
                <w:sz w:val="24"/>
              </w:rPr>
              <w:t>技术部分</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600" w:firstLineChars="250"/>
              <w:jc w:val="left"/>
              <w:rPr>
                <w:rFonts w:ascii="宋体" w:hAnsi="宋体"/>
                <w:color w:val="000000"/>
                <w:sz w:val="24"/>
              </w:rPr>
            </w:pPr>
            <w:r>
              <w:rPr>
                <w:rFonts w:hint="eastAsia" w:ascii="宋体" w:hAnsi="宋体"/>
                <w:color w:val="000000"/>
                <w:sz w:val="24"/>
              </w:rPr>
              <w:t>50分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81" w:type="dxa"/>
            <w:vMerge w:val="continue"/>
            <w:tcBorders>
              <w:right w:val="single" w:color="auto" w:sz="4" w:space="0"/>
            </w:tcBorders>
            <w:vAlign w:val="center"/>
          </w:tcPr>
          <w:p>
            <w:pPr>
              <w:spacing w:line="440" w:lineRule="exact"/>
              <w:jc w:val="center"/>
              <w:rPr>
                <w:rFonts w:ascii="宋体" w:hAnsi="宋体"/>
                <w:color w:val="000000"/>
                <w:sz w:val="24"/>
                <w:highlight w:val="none"/>
              </w:rPr>
            </w:pPr>
          </w:p>
        </w:tc>
        <w:tc>
          <w:tcPr>
            <w:tcW w:w="1003" w:type="dxa"/>
            <w:vMerge w:val="continue"/>
            <w:tcBorders>
              <w:right w:val="single" w:color="auto" w:sz="4" w:space="0"/>
            </w:tcBorders>
            <w:vAlign w:val="center"/>
          </w:tcPr>
          <w:p>
            <w:pPr>
              <w:adjustRightInd w:val="0"/>
              <w:snapToGrid w:val="0"/>
              <w:spacing w:line="500" w:lineRule="atLeast"/>
              <w:rPr>
                <w:rFonts w:ascii="宋体" w:hAnsi="宋体"/>
                <w:color w:val="000000"/>
                <w:sz w:val="24"/>
                <w:highlight w:val="none"/>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商务</w:t>
            </w:r>
            <w:r>
              <w:rPr>
                <w:rFonts w:hint="eastAsia" w:ascii="宋体" w:hAnsi="宋体"/>
                <w:color w:val="000000"/>
                <w:sz w:val="24"/>
                <w:highlight w:val="none"/>
              </w:rPr>
              <w:t>部分</w:t>
            </w:r>
          </w:p>
        </w:tc>
        <w:tc>
          <w:tcPr>
            <w:tcW w:w="5507" w:type="dxa"/>
            <w:tcBorders>
              <w:top w:val="single" w:color="auto" w:sz="4" w:space="0"/>
              <w:left w:val="single" w:color="auto" w:sz="4" w:space="0"/>
              <w:bottom w:val="single" w:color="auto" w:sz="4" w:space="0"/>
              <w:right w:val="single" w:color="auto" w:sz="4" w:space="0"/>
            </w:tcBorders>
            <w:vAlign w:val="center"/>
          </w:tcPr>
          <w:p>
            <w:pPr>
              <w:spacing w:line="440" w:lineRule="exact"/>
              <w:ind w:firstLine="600" w:firstLineChars="250"/>
              <w:jc w:val="left"/>
              <w:rPr>
                <w:rFonts w:ascii="宋体" w:hAnsi="宋体"/>
                <w:color w:val="000000"/>
                <w:sz w:val="24"/>
                <w:highlight w:val="none"/>
              </w:rPr>
            </w:pPr>
            <w:r>
              <w:rPr>
                <w:rFonts w:hint="eastAsia" w:ascii="宋体" w:hAnsi="宋体" w:eastAsia="宋体"/>
                <w:color w:val="000000"/>
                <w:sz w:val="24"/>
                <w:highlight w:val="none"/>
                <w:lang w:val="en-US" w:eastAsia="zh-CN"/>
              </w:rPr>
              <w:t>5</w:t>
            </w:r>
            <w:r>
              <w:rPr>
                <w:rFonts w:hint="eastAsia" w:ascii="宋体" w:hAnsi="宋体"/>
                <w:color w:val="000000"/>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81" w:type="dxa"/>
            <w:vMerge w:val="continue"/>
            <w:tcBorders>
              <w:right w:val="single" w:color="auto" w:sz="4" w:space="0"/>
            </w:tcBorders>
            <w:vAlign w:val="center"/>
          </w:tcPr>
          <w:p>
            <w:pPr>
              <w:spacing w:line="440" w:lineRule="exact"/>
              <w:jc w:val="center"/>
              <w:rPr>
                <w:rFonts w:ascii="宋体" w:hAnsi="宋体"/>
                <w:color w:val="000000"/>
                <w:sz w:val="24"/>
                <w:highlight w:val="none"/>
              </w:rPr>
            </w:pPr>
          </w:p>
        </w:tc>
        <w:tc>
          <w:tcPr>
            <w:tcW w:w="1003" w:type="dxa"/>
            <w:vMerge w:val="continue"/>
            <w:tcBorders>
              <w:right w:val="single" w:color="auto" w:sz="4" w:space="0"/>
            </w:tcBorders>
            <w:vAlign w:val="center"/>
          </w:tcPr>
          <w:p>
            <w:pPr>
              <w:adjustRightInd w:val="0"/>
              <w:snapToGrid w:val="0"/>
              <w:spacing w:line="500" w:lineRule="atLeast"/>
              <w:rPr>
                <w:rFonts w:ascii="宋体" w:hAnsi="宋体"/>
                <w:color w:val="000000"/>
                <w:sz w:val="24"/>
                <w:highlight w:val="none"/>
              </w:rPr>
            </w:pPr>
          </w:p>
        </w:tc>
        <w:tc>
          <w:tcPr>
            <w:tcW w:w="2682" w:type="dxa"/>
            <w:gridSpan w:val="2"/>
            <w:tcBorders>
              <w:top w:val="single" w:color="auto" w:sz="4" w:space="0"/>
              <w:left w:val="single" w:color="auto" w:sz="4" w:space="0"/>
              <w:right w:val="single" w:color="auto" w:sz="4" w:space="0"/>
            </w:tcBorders>
            <w:vAlign w:val="center"/>
          </w:tcPr>
          <w:p>
            <w:pPr>
              <w:spacing w:line="440" w:lineRule="exact"/>
              <w:jc w:val="left"/>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报价</w:t>
            </w:r>
            <w:r>
              <w:rPr>
                <w:rFonts w:hint="eastAsia" w:ascii="宋体" w:hAnsi="宋体"/>
                <w:color w:val="000000"/>
                <w:sz w:val="24"/>
                <w:highlight w:val="none"/>
              </w:rPr>
              <w:t xml:space="preserve">部分                      </w:t>
            </w:r>
          </w:p>
        </w:tc>
        <w:tc>
          <w:tcPr>
            <w:tcW w:w="5507" w:type="dxa"/>
            <w:tcBorders>
              <w:top w:val="single" w:color="auto" w:sz="4" w:space="0"/>
              <w:left w:val="single" w:color="auto" w:sz="4" w:space="0"/>
              <w:right w:val="single" w:color="auto" w:sz="4" w:space="0"/>
            </w:tcBorders>
            <w:vAlign w:val="center"/>
          </w:tcPr>
          <w:p>
            <w:pPr>
              <w:spacing w:line="440" w:lineRule="exact"/>
              <w:ind w:firstLine="600" w:firstLineChars="250"/>
              <w:jc w:val="left"/>
              <w:rPr>
                <w:rFonts w:ascii="宋体" w:hAnsi="宋体"/>
                <w:color w:val="000000"/>
                <w:sz w:val="24"/>
                <w:highlight w:val="none"/>
              </w:rPr>
            </w:pPr>
            <w:r>
              <w:rPr>
                <w:rFonts w:hint="eastAsia" w:ascii="宋体" w:hAnsi="宋体"/>
                <w:color w:val="000000"/>
                <w:sz w:val="24"/>
                <w:highlight w:val="none"/>
              </w:rPr>
              <w:t>4</w:t>
            </w:r>
            <w:r>
              <w:rPr>
                <w:rFonts w:hint="eastAsia" w:ascii="宋体" w:hAnsi="宋体" w:eastAsia="宋体"/>
                <w:color w:val="000000"/>
                <w:sz w:val="24"/>
                <w:highlight w:val="none"/>
                <w:lang w:val="en-US" w:eastAsia="zh-CN"/>
              </w:rPr>
              <w:t>5</w:t>
            </w:r>
            <w:r>
              <w:rPr>
                <w:rFonts w:ascii="宋体" w:hAnsi="宋体"/>
                <w:color w:val="000000"/>
                <w:sz w:val="24"/>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1" w:type="dxa"/>
            <w:vMerge w:val="restart"/>
            <w:tcBorders>
              <w:top w:val="single" w:color="auto" w:sz="4" w:space="0"/>
              <w:right w:val="single" w:color="auto" w:sz="4" w:space="0"/>
            </w:tcBorders>
            <w:vAlign w:val="center"/>
          </w:tcPr>
          <w:p>
            <w:pPr>
              <w:spacing w:line="440" w:lineRule="exact"/>
              <w:jc w:val="center"/>
              <w:rPr>
                <w:rFonts w:ascii="宋体" w:hAnsi="宋体"/>
                <w:color w:val="000000"/>
                <w:sz w:val="24"/>
                <w:highlight w:val="none"/>
              </w:rPr>
            </w:pPr>
            <w:r>
              <w:rPr>
                <w:rFonts w:hint="eastAsia" w:ascii="宋体" w:hAnsi="宋体"/>
                <w:color w:val="000000"/>
                <w:sz w:val="24"/>
                <w:highlight w:val="none"/>
              </w:rPr>
              <w:t>2.2</w:t>
            </w:r>
          </w:p>
        </w:tc>
        <w:tc>
          <w:tcPr>
            <w:tcW w:w="1003" w:type="dxa"/>
            <w:vMerge w:val="restart"/>
            <w:tcBorders>
              <w:top w:val="single" w:color="auto" w:sz="4" w:space="0"/>
              <w:right w:val="single" w:color="auto" w:sz="4" w:space="0"/>
            </w:tcBorders>
            <w:vAlign w:val="center"/>
          </w:tcPr>
          <w:p>
            <w:pPr>
              <w:adjustRightInd w:val="0"/>
              <w:snapToGrid w:val="0"/>
              <w:spacing w:line="500" w:lineRule="atLeast"/>
              <w:jc w:val="center"/>
              <w:rPr>
                <w:rFonts w:hint="eastAsia" w:ascii="宋体" w:hAnsi="宋体"/>
                <w:color w:val="000000"/>
                <w:sz w:val="24"/>
                <w:highlight w:val="none"/>
              </w:rPr>
            </w:pPr>
            <w:r>
              <w:rPr>
                <w:rFonts w:ascii="宋体" w:hAnsi="宋体"/>
                <w:color w:val="000000"/>
                <w:sz w:val="24"/>
                <w:highlight w:val="none"/>
              </w:rPr>
              <w:t>评</w:t>
            </w:r>
            <w:r>
              <w:rPr>
                <w:rFonts w:hint="eastAsia" w:ascii="宋体" w:hAnsi="宋体"/>
                <w:color w:val="000000"/>
                <w:sz w:val="24"/>
                <w:highlight w:val="none"/>
              </w:rPr>
              <w:t>分</w:t>
            </w:r>
          </w:p>
          <w:p>
            <w:pPr>
              <w:adjustRightInd w:val="0"/>
              <w:snapToGrid w:val="0"/>
              <w:spacing w:line="500" w:lineRule="atLeast"/>
              <w:jc w:val="center"/>
              <w:rPr>
                <w:rFonts w:ascii="宋体" w:hAnsi="宋体"/>
                <w:color w:val="000000"/>
                <w:sz w:val="24"/>
                <w:highlight w:val="none"/>
              </w:rPr>
            </w:pPr>
            <w:r>
              <w:rPr>
                <w:rFonts w:ascii="宋体" w:hAnsi="宋体"/>
                <w:color w:val="000000"/>
                <w:sz w:val="24"/>
                <w:highlight w:val="none"/>
              </w:rPr>
              <w:t>标准</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b/>
                <w:color w:val="000000"/>
                <w:sz w:val="24"/>
                <w:highlight w:val="none"/>
              </w:rPr>
            </w:pPr>
            <w:r>
              <w:rPr>
                <w:rFonts w:ascii="宋体" w:hAnsi="宋体"/>
                <w:b/>
                <w:color w:val="000000"/>
                <w:sz w:val="24"/>
                <w:highlight w:val="none"/>
              </w:rPr>
              <w:t>技术部分</w:t>
            </w:r>
          </w:p>
          <w:p>
            <w:pPr>
              <w:spacing w:line="440" w:lineRule="exact"/>
              <w:jc w:val="center"/>
              <w:rPr>
                <w:rFonts w:ascii="宋体" w:hAnsi="宋体"/>
                <w:b/>
                <w:color w:val="000000"/>
                <w:sz w:val="24"/>
                <w:highlight w:val="none"/>
              </w:rPr>
            </w:pPr>
            <w:r>
              <w:rPr>
                <w:rFonts w:ascii="宋体" w:hAnsi="宋体"/>
                <w:b/>
                <w:color w:val="000000"/>
                <w:sz w:val="24"/>
                <w:highlight w:val="none"/>
              </w:rPr>
              <w:t>评分标准</w:t>
            </w:r>
          </w:p>
          <w:p>
            <w:pPr>
              <w:spacing w:line="440" w:lineRule="exact"/>
              <w:jc w:val="center"/>
              <w:rPr>
                <w:rFonts w:ascii="宋体" w:hAnsi="宋体"/>
                <w:color w:val="000000"/>
                <w:sz w:val="24"/>
                <w:highlight w:val="none"/>
              </w:rPr>
            </w:pPr>
            <w:r>
              <w:rPr>
                <w:rFonts w:hint="eastAsia" w:eastAsia="宋体"/>
                <w:sz w:val="24"/>
                <w:highlight w:val="none"/>
                <w:u w:val="single"/>
              </w:rPr>
              <w:t>50</w:t>
            </w:r>
            <w:r>
              <w:rPr>
                <w:rFonts w:hint="eastAsia"/>
                <w:sz w:val="24"/>
                <w:highlight w:val="none"/>
                <w:u w:val="single"/>
              </w:rPr>
              <w:t>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0"/>
              </w:numPr>
              <w:tabs>
                <w:tab w:val="left" w:pos="540"/>
              </w:tabs>
              <w:spacing w:line="360" w:lineRule="auto"/>
              <w:jc w:val="left"/>
              <w:rPr>
                <w:rFonts w:hint="eastAsia" w:ascii="宋体" w:hAnsi="宋体" w:eastAsia="宋体" w:cs="宋体"/>
                <w:color w:val="auto"/>
                <w:sz w:val="24"/>
                <w:highlight w:val="none"/>
              </w:rPr>
            </w:pPr>
            <w:r>
              <w:rPr>
                <w:rFonts w:hint="eastAsia" w:eastAsia="宋体"/>
                <w:b/>
                <w:color w:val="auto"/>
                <w:sz w:val="24"/>
                <w:highlight w:val="none"/>
                <w:lang w:val="en-US" w:eastAsia="zh-CN"/>
              </w:rPr>
              <w:t>1、</w:t>
            </w:r>
            <w:r>
              <w:rPr>
                <w:rFonts w:hint="eastAsia"/>
                <w:b/>
                <w:color w:val="auto"/>
                <w:sz w:val="24"/>
                <w:highlight w:val="none"/>
              </w:rPr>
              <w:t>按招标文件“第三条：项目需求一览表及技术规格”中</w:t>
            </w:r>
            <w:r>
              <w:rPr>
                <w:rFonts w:hint="eastAsia" w:ascii="宋体" w:hAnsi="宋体"/>
                <w:color w:val="auto"/>
                <w:spacing w:val="10"/>
                <w:sz w:val="24"/>
                <w:highlight w:val="none"/>
              </w:rPr>
              <w:t>的相关要求进行</w:t>
            </w:r>
            <w:r>
              <w:rPr>
                <w:rFonts w:hint="eastAsia"/>
                <w:b/>
                <w:color w:val="auto"/>
                <w:sz w:val="24"/>
                <w:highlight w:val="none"/>
              </w:rPr>
              <w:t>打分，满足得</w:t>
            </w:r>
            <w:r>
              <w:rPr>
                <w:rFonts w:hint="eastAsia" w:eastAsia="宋体"/>
                <w:b/>
                <w:color w:val="auto"/>
                <w:sz w:val="24"/>
                <w:highlight w:val="none"/>
                <w:lang w:val="en-US" w:eastAsia="zh-CN"/>
              </w:rPr>
              <w:t>35</w:t>
            </w:r>
            <w:r>
              <w:rPr>
                <w:rFonts w:hint="eastAsia"/>
                <w:b/>
                <w:color w:val="auto"/>
                <w:sz w:val="24"/>
                <w:highlight w:val="none"/>
              </w:rPr>
              <w:t>分，</w:t>
            </w:r>
            <w:r>
              <w:rPr>
                <w:rFonts w:hint="default" w:ascii="Times New Roman" w:hAnsi="Times New Roman" w:eastAsia="宋体" w:cs="Times New Roman"/>
                <w:color w:val="000000"/>
                <w:sz w:val="24"/>
                <w:highlight w:val="none"/>
                <w:lang w:val="en-US" w:eastAsia="zh-CN"/>
              </w:rPr>
              <w:t>正偏离加0.5分/项，最多加10分，负偏离扣0.5分/项，扣完为止</w:t>
            </w:r>
            <w:r>
              <w:rPr>
                <w:rFonts w:hint="eastAsia" w:ascii="宋体" w:hAnsi="宋体" w:eastAsia="宋体" w:cs="宋体"/>
                <w:color w:val="auto"/>
                <w:sz w:val="24"/>
                <w:highlight w:val="none"/>
              </w:rPr>
              <w:t>。★项，正偏离加</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分/项，负偏离减</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分/项。</w:t>
            </w:r>
          </w:p>
          <w:p>
            <w:pPr>
              <w:tabs>
                <w:tab w:val="left" w:pos="540"/>
                <w:tab w:val="left" w:pos="646"/>
              </w:tabs>
              <w:spacing w:line="400" w:lineRule="exact"/>
              <w:rPr>
                <w:rFonts w:ascii="宋体" w:hAnsi="宋体"/>
                <w:spacing w:val="10"/>
                <w:sz w:val="24"/>
                <w:highlight w:val="none"/>
              </w:rPr>
            </w:pPr>
            <w:r>
              <w:rPr>
                <w:rFonts w:hint="eastAsia" w:ascii="宋体" w:hAnsi="宋体" w:eastAsia="宋体" w:cs="宋体"/>
                <w:color w:val="auto"/>
                <w:sz w:val="24"/>
                <w:highlight w:val="none"/>
                <w:lang w:val="en-US" w:eastAsia="zh-CN"/>
              </w:rPr>
              <w:t>2、有详细合理的实施方案和培训方案</w:t>
            </w:r>
            <w:r>
              <w:rPr>
                <w:rFonts w:hint="eastAsia" w:ascii="宋体" w:hAnsi="宋体" w:eastAsia="宋体" w:cs="宋体"/>
                <w:b/>
                <w:bCs/>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根据方案的优劣进行评分</w:t>
            </w:r>
            <w:r>
              <w:rPr>
                <w:rFonts w:hint="eastAsia" w:ascii="宋体" w:hAnsi="宋体" w:eastAsia="宋体" w:cs="宋体"/>
                <w:b/>
                <w:bCs/>
                <w:color w:val="auto"/>
                <w:sz w:val="24"/>
                <w:highlight w:val="none"/>
                <w:lang w:val="en-US" w:eastAsia="zh-CN"/>
              </w:rPr>
              <w:t>，最多得5分</w:t>
            </w:r>
            <w:r>
              <w:rPr>
                <w:rFonts w:hint="eastAsia" w:ascii="宋体" w:hAnsi="宋体" w:eastAsia="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1" w:type="dxa"/>
            <w:vMerge w:val="continue"/>
            <w:tcBorders>
              <w:right w:val="single" w:color="auto" w:sz="4" w:space="0"/>
            </w:tcBorders>
            <w:vAlign w:val="center"/>
          </w:tcPr>
          <w:p>
            <w:pPr>
              <w:spacing w:line="440" w:lineRule="exact"/>
              <w:jc w:val="center"/>
              <w:rPr>
                <w:rFonts w:ascii="宋体" w:hAnsi="宋体"/>
                <w:color w:val="000000"/>
                <w:sz w:val="24"/>
                <w:highlight w:val="none"/>
              </w:rPr>
            </w:pPr>
          </w:p>
        </w:tc>
        <w:tc>
          <w:tcPr>
            <w:tcW w:w="1003" w:type="dxa"/>
            <w:vMerge w:val="continue"/>
            <w:tcBorders>
              <w:right w:val="single" w:color="auto" w:sz="4" w:space="0"/>
            </w:tcBorders>
            <w:vAlign w:val="center"/>
          </w:tcPr>
          <w:p>
            <w:pPr>
              <w:adjustRightInd w:val="0"/>
              <w:snapToGrid w:val="0"/>
              <w:spacing w:line="500" w:lineRule="atLeast"/>
              <w:rPr>
                <w:rFonts w:ascii="宋体" w:hAnsi="宋体"/>
                <w:color w:val="000000"/>
                <w:sz w:val="24"/>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4"/>
                <w:highlight w:val="none"/>
              </w:rPr>
            </w:pPr>
            <w:r>
              <w:rPr>
                <w:rFonts w:hint="eastAsia" w:ascii="宋体" w:hAnsi="宋体"/>
                <w:b/>
                <w:color w:val="000000"/>
                <w:sz w:val="24"/>
                <w:highlight w:val="none"/>
              </w:rPr>
              <w:t>商务部分</w:t>
            </w:r>
          </w:p>
          <w:p>
            <w:pPr>
              <w:spacing w:line="440" w:lineRule="exact"/>
              <w:jc w:val="center"/>
              <w:rPr>
                <w:rFonts w:ascii="宋体" w:hAnsi="宋体"/>
                <w:b/>
                <w:color w:val="000000"/>
                <w:sz w:val="24"/>
                <w:highlight w:val="none"/>
              </w:rPr>
            </w:pPr>
            <w:r>
              <w:rPr>
                <w:rFonts w:ascii="宋体" w:hAnsi="宋体"/>
                <w:b/>
                <w:color w:val="000000"/>
                <w:sz w:val="24"/>
                <w:highlight w:val="none"/>
              </w:rPr>
              <w:t>评分标准</w:t>
            </w:r>
          </w:p>
          <w:p>
            <w:pPr>
              <w:spacing w:line="440" w:lineRule="exact"/>
              <w:jc w:val="center"/>
              <w:rPr>
                <w:sz w:val="24"/>
                <w:highlight w:val="none"/>
                <w:u w:val="single"/>
              </w:rPr>
            </w:pPr>
            <w:r>
              <w:rPr>
                <w:rFonts w:hint="eastAsia" w:eastAsia="宋体"/>
                <w:sz w:val="24"/>
                <w:highlight w:val="none"/>
                <w:u w:val="single"/>
                <w:lang w:val="en-US" w:eastAsia="zh-CN"/>
              </w:rPr>
              <w:t>5</w:t>
            </w:r>
            <w:r>
              <w:rPr>
                <w:rFonts w:hint="eastAsia"/>
                <w:sz w:val="24"/>
                <w:highlight w:val="none"/>
                <w:u w:val="single"/>
              </w:rPr>
              <w:t>分</w:t>
            </w:r>
          </w:p>
        </w:tc>
        <w:tc>
          <w:tcPr>
            <w:tcW w:w="6545" w:type="dxa"/>
            <w:gridSpan w:val="2"/>
            <w:tcBorders>
              <w:top w:val="single" w:color="auto" w:sz="4" w:space="0"/>
              <w:left w:val="single" w:color="auto" w:sz="4" w:space="0"/>
              <w:bottom w:val="single" w:color="auto" w:sz="4" w:space="0"/>
              <w:right w:val="single" w:color="auto" w:sz="4" w:space="0"/>
            </w:tcBorders>
            <w:vAlign w:val="center"/>
          </w:tcPr>
          <w:p>
            <w:pPr>
              <w:widowControl/>
              <w:numPr>
                <w:ilvl w:val="0"/>
                <w:numId w:val="25"/>
              </w:numPr>
              <w:tabs>
                <w:tab w:val="left" w:pos="540"/>
              </w:tabs>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投标方</w:t>
            </w:r>
            <w:r>
              <w:rPr>
                <w:rFonts w:hint="eastAsia" w:ascii="宋体" w:hAnsi="宋体" w:eastAsia="宋体" w:cs="宋体"/>
                <w:color w:val="auto"/>
                <w:sz w:val="24"/>
                <w:highlight w:val="none"/>
                <w:lang w:val="en-US" w:eastAsia="zh-CN"/>
              </w:rPr>
              <w:t>PLM</w:t>
            </w:r>
            <w:r>
              <w:rPr>
                <w:rFonts w:hint="eastAsia" w:ascii="宋体" w:hAnsi="宋体" w:eastAsia="宋体" w:cs="宋体"/>
                <w:color w:val="auto"/>
                <w:sz w:val="24"/>
                <w:highlight w:val="none"/>
              </w:rPr>
              <w:t>系统在制造业具有良好的销售业绩，</w:t>
            </w:r>
            <w:r>
              <w:rPr>
                <w:rFonts w:hint="eastAsia" w:ascii="宋体" w:hAnsi="宋体" w:eastAsia="宋体" w:cs="宋体"/>
                <w:color w:val="auto"/>
                <w:sz w:val="24"/>
                <w:highlight w:val="none"/>
                <w:lang w:val="en-US" w:eastAsia="zh-CN"/>
              </w:rPr>
              <w:t>从2021年1月1日起</w:t>
            </w:r>
            <w:r>
              <w:rPr>
                <w:rFonts w:hint="eastAsia" w:ascii="宋体" w:hAnsi="宋体" w:eastAsia="宋体" w:cs="宋体"/>
                <w:color w:val="auto"/>
                <w:sz w:val="24"/>
                <w:highlight w:val="none"/>
              </w:rPr>
              <w:t>至少为</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家以上</w:t>
            </w:r>
            <w:r>
              <w:rPr>
                <w:rFonts w:hint="eastAsia" w:ascii="宋体" w:hAnsi="宋体" w:eastAsia="宋体" w:cs="宋体"/>
                <w:color w:val="auto"/>
                <w:sz w:val="24"/>
                <w:highlight w:val="none"/>
                <w:lang w:eastAsia="zh-CN"/>
              </w:rPr>
              <w:t>制造业</w:t>
            </w:r>
            <w:r>
              <w:rPr>
                <w:rFonts w:hint="eastAsia" w:ascii="宋体" w:hAnsi="宋体" w:eastAsia="宋体" w:cs="宋体"/>
                <w:color w:val="auto"/>
                <w:sz w:val="24"/>
                <w:highlight w:val="none"/>
              </w:rPr>
              <w:t>企业成功实施</w:t>
            </w:r>
            <w:r>
              <w:rPr>
                <w:rFonts w:hint="eastAsia" w:ascii="宋体" w:hAnsi="宋体" w:eastAsia="宋体" w:cs="宋体"/>
                <w:color w:val="auto"/>
                <w:sz w:val="24"/>
                <w:highlight w:val="none"/>
                <w:lang w:val="en-US" w:eastAsia="zh-CN"/>
              </w:rPr>
              <w:t>案例</w:t>
            </w:r>
            <w:r>
              <w:rPr>
                <w:rFonts w:hint="eastAsia" w:ascii="宋体" w:hAnsi="宋体" w:eastAsia="宋体" w:cs="宋体"/>
                <w:color w:val="auto"/>
                <w:sz w:val="24"/>
                <w:highlight w:val="none"/>
              </w:rPr>
              <w:t>（业绩提供合同复印件</w:t>
            </w:r>
            <w:r>
              <w:rPr>
                <w:rFonts w:hint="eastAsia" w:ascii="宋体" w:hAnsi="宋体" w:eastAsia="宋体" w:cs="宋体"/>
                <w:color w:val="auto"/>
                <w:sz w:val="24"/>
                <w:highlight w:val="none"/>
                <w:lang w:eastAsia="zh-CN"/>
              </w:rPr>
              <w:t>、验收报告</w:t>
            </w:r>
            <w:r>
              <w:rPr>
                <w:rFonts w:hint="eastAsia" w:ascii="宋体" w:hAnsi="宋体" w:eastAsia="宋体" w:cs="宋体"/>
                <w:color w:val="auto"/>
                <w:sz w:val="24"/>
                <w:highlight w:val="none"/>
              </w:rPr>
              <w:t>加盖投标方公章）</w:t>
            </w:r>
            <w:r>
              <w:rPr>
                <w:rFonts w:hint="eastAsia" w:ascii="宋体" w:hAnsi="宋体" w:eastAsia="宋体" w:cs="宋体"/>
                <w:color w:val="auto"/>
                <w:sz w:val="24"/>
                <w:highlight w:val="none"/>
                <w:lang w:val="en-US" w:eastAsia="zh-CN"/>
              </w:rPr>
              <w:t>。</w:t>
            </w:r>
            <w:r>
              <w:rPr>
                <w:rFonts w:hint="eastAsia" w:ascii="宋体" w:hAnsi="宋体"/>
                <w:b/>
                <w:color w:val="auto"/>
                <w:sz w:val="24"/>
                <w:highlight w:val="none"/>
              </w:rPr>
              <w:t>（</w:t>
            </w:r>
            <w:r>
              <w:rPr>
                <w:rFonts w:hint="eastAsia" w:ascii="宋体" w:hAnsi="宋体" w:eastAsia="宋体"/>
                <w:b/>
                <w:color w:val="auto"/>
                <w:sz w:val="24"/>
                <w:highlight w:val="none"/>
                <w:lang w:val="en-US" w:eastAsia="zh-CN"/>
              </w:rPr>
              <w:t>全部满足得2分，每少一家扣1分</w:t>
            </w:r>
            <w:r>
              <w:rPr>
                <w:rFonts w:hint="eastAsia" w:ascii="宋体" w:hAnsi="宋体"/>
                <w:b/>
                <w:bCs/>
                <w:color w:val="auto"/>
                <w:sz w:val="24"/>
                <w:highlight w:val="none"/>
                <w:lang w:eastAsia="zh-CN"/>
              </w:rPr>
              <w:t>。</w:t>
            </w:r>
            <w:r>
              <w:rPr>
                <w:rFonts w:hint="eastAsia" w:ascii="宋体" w:hAnsi="宋体"/>
                <w:b/>
                <w:color w:val="auto"/>
                <w:sz w:val="24"/>
                <w:highlight w:val="none"/>
              </w:rPr>
              <w:t>）</w:t>
            </w:r>
          </w:p>
          <w:p>
            <w:pPr>
              <w:widowControl/>
              <w:numPr>
                <w:ilvl w:val="0"/>
                <w:numId w:val="25"/>
              </w:numPr>
              <w:tabs>
                <w:tab w:val="left" w:pos="54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从2021年1月1日起</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val="en-US" w:eastAsia="zh-CN"/>
              </w:rPr>
              <w:t>紧固件</w:t>
            </w:r>
            <w:r>
              <w:rPr>
                <w:rFonts w:hint="eastAsia" w:ascii="宋体" w:hAnsi="宋体" w:eastAsia="宋体" w:cs="宋体"/>
                <w:color w:val="auto"/>
                <w:sz w:val="24"/>
                <w:highlight w:val="none"/>
              </w:rPr>
              <w:t>行业至少有1家成功实施案例。（业绩提供合同复印件</w:t>
            </w:r>
            <w:r>
              <w:rPr>
                <w:rFonts w:hint="eastAsia" w:ascii="宋体" w:hAnsi="宋体" w:eastAsia="宋体" w:cs="宋体"/>
                <w:color w:val="auto"/>
                <w:sz w:val="24"/>
                <w:highlight w:val="none"/>
                <w:lang w:eastAsia="zh-CN"/>
              </w:rPr>
              <w:t>、验收报告</w:t>
            </w:r>
            <w:r>
              <w:rPr>
                <w:rFonts w:hint="eastAsia" w:ascii="宋体" w:hAnsi="宋体" w:eastAsia="宋体" w:cs="宋体"/>
                <w:color w:val="auto"/>
                <w:sz w:val="24"/>
                <w:highlight w:val="none"/>
              </w:rPr>
              <w:t>加盖投标方公章）。</w:t>
            </w:r>
            <w:r>
              <w:rPr>
                <w:rFonts w:hint="eastAsia" w:ascii="宋体" w:hAnsi="宋体"/>
                <w:b/>
                <w:color w:val="auto"/>
                <w:sz w:val="24"/>
                <w:highlight w:val="none"/>
              </w:rPr>
              <w:t>（</w:t>
            </w:r>
            <w:r>
              <w:rPr>
                <w:rFonts w:hint="eastAsia" w:ascii="宋体" w:hAnsi="宋体" w:eastAsia="宋体"/>
                <w:b/>
                <w:color w:val="auto"/>
                <w:sz w:val="24"/>
                <w:highlight w:val="none"/>
                <w:lang w:val="en-US" w:eastAsia="zh-CN"/>
              </w:rPr>
              <w:t>满足得1分，不满足0分</w:t>
            </w:r>
            <w:r>
              <w:rPr>
                <w:rFonts w:hint="eastAsia" w:ascii="宋体" w:hAnsi="宋体"/>
                <w:b/>
                <w:color w:val="auto"/>
                <w:sz w:val="24"/>
                <w:highlight w:val="none"/>
              </w:rPr>
              <w:t>）</w:t>
            </w:r>
          </w:p>
          <w:p>
            <w:pPr>
              <w:adjustRightInd w:val="0"/>
              <w:snapToGrid w:val="0"/>
              <w:spacing w:line="420" w:lineRule="exact"/>
              <w:rPr>
                <w:rFonts w:hint="default" w:ascii="宋体" w:hAnsi="宋体"/>
                <w:color w:val="auto"/>
                <w:sz w:val="24"/>
                <w:highlight w:val="none"/>
                <w:lang w:val="en-US" w:eastAsia="zh-CN"/>
              </w:rPr>
            </w:pPr>
            <w:r>
              <w:rPr>
                <w:rFonts w:hint="eastAsia" w:ascii="宋体" w:hAnsi="宋体"/>
                <w:color w:val="auto"/>
                <w:sz w:val="24"/>
                <w:highlight w:val="none"/>
                <w:lang w:val="en-US" w:eastAsia="zh-CN"/>
              </w:rPr>
              <w:t>3.投标方保证实施团队项目经理拥有5年以上实施经验并有紧固件行业成功实施案例。</w:t>
            </w:r>
            <w:r>
              <w:rPr>
                <w:rFonts w:hint="eastAsia" w:ascii="宋体" w:hAnsi="宋体"/>
                <w:b/>
                <w:bCs/>
                <w:color w:val="auto"/>
                <w:sz w:val="24"/>
                <w:highlight w:val="none"/>
                <w:lang w:val="en-US" w:eastAsia="zh-CN"/>
              </w:rPr>
              <w:t>（不满足0分，满足得1分。）</w:t>
            </w:r>
          </w:p>
          <w:p>
            <w:pPr>
              <w:adjustRightInd w:val="0"/>
              <w:snapToGrid w:val="0"/>
              <w:spacing w:line="420" w:lineRule="exact"/>
              <w:rPr>
                <w:rFonts w:ascii="宋体" w:hAnsi="宋体"/>
                <w:b/>
                <w:bCs/>
                <w:color w:val="000000"/>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color w:val="auto"/>
                <w:sz w:val="24"/>
                <w:highlight w:val="none"/>
              </w:rPr>
              <w:t>提供7*24小时专业技术服务支持，响应时间低于</w:t>
            </w:r>
            <w:r>
              <w:rPr>
                <w:rFonts w:hint="eastAsia" w:eastAsia="宋体"/>
                <w:color w:val="auto"/>
                <w:sz w:val="24"/>
                <w:highlight w:val="none"/>
                <w:lang w:val="en-US" w:eastAsia="zh-CN"/>
              </w:rPr>
              <w:t>2</w:t>
            </w:r>
            <w:r>
              <w:rPr>
                <w:rFonts w:hint="eastAsia"/>
                <w:color w:val="auto"/>
                <w:sz w:val="24"/>
                <w:highlight w:val="none"/>
              </w:rPr>
              <w:t>小时，24小时内派人员到达现场处理</w:t>
            </w:r>
            <w:r>
              <w:rPr>
                <w:rFonts w:hint="eastAsia" w:ascii="宋体" w:hAnsi="宋体"/>
                <w:color w:val="auto"/>
                <w:sz w:val="24"/>
                <w:highlight w:val="none"/>
              </w:rPr>
              <w:t>。（</w:t>
            </w:r>
            <w:r>
              <w:rPr>
                <w:rFonts w:hint="eastAsia" w:ascii="宋体" w:hAnsi="宋体"/>
                <w:b/>
                <w:color w:val="auto"/>
                <w:sz w:val="24"/>
                <w:highlight w:val="none"/>
              </w:rPr>
              <w:t>不满足得</w:t>
            </w:r>
            <w:r>
              <w:rPr>
                <w:rFonts w:ascii="宋体" w:hAnsi="宋体"/>
                <w:b/>
                <w:color w:val="auto"/>
                <w:sz w:val="24"/>
                <w:highlight w:val="none"/>
              </w:rPr>
              <w:t>0</w:t>
            </w:r>
            <w:r>
              <w:rPr>
                <w:rFonts w:hint="eastAsia" w:ascii="宋体" w:hAnsi="宋体"/>
                <w:b/>
                <w:color w:val="auto"/>
                <w:sz w:val="24"/>
                <w:highlight w:val="none"/>
              </w:rPr>
              <w:t>分，满足得</w:t>
            </w:r>
            <w:r>
              <w:rPr>
                <w:rFonts w:hint="eastAsia" w:ascii="宋体" w:hAnsi="宋体" w:eastAsia="宋体"/>
                <w:b/>
                <w:color w:val="auto"/>
                <w:sz w:val="24"/>
                <w:highlight w:val="none"/>
                <w:lang w:val="en-US" w:eastAsia="zh-CN"/>
              </w:rPr>
              <w:t>1</w:t>
            </w:r>
            <w:r>
              <w:rPr>
                <w:rFonts w:hint="eastAsia" w:ascii="宋体" w:hAnsi="宋体"/>
                <w:b/>
                <w:color w:val="auto"/>
                <w:sz w:val="24"/>
                <w:highlight w:val="none"/>
              </w:rPr>
              <w:t>分</w:t>
            </w:r>
            <w:r>
              <w:rPr>
                <w:rFonts w:hint="eastAsia" w:ascii="宋体" w:hAnsi="宋体"/>
                <w:b/>
                <w:color w:val="auto"/>
                <w:sz w:val="24"/>
                <w:highlight w:val="none"/>
                <w:lang w:eastAsia="zh-CN"/>
              </w:rPr>
              <w:t>。</w:t>
            </w:r>
            <w:r>
              <w:rPr>
                <w:rFonts w:hint="eastAsia" w:ascii="宋体" w:hAnsi="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881" w:type="dxa"/>
            <w:vMerge w:val="continue"/>
            <w:tcBorders>
              <w:right w:val="single" w:color="auto" w:sz="4" w:space="0"/>
            </w:tcBorders>
            <w:vAlign w:val="center"/>
          </w:tcPr>
          <w:p>
            <w:pPr>
              <w:spacing w:line="440" w:lineRule="exact"/>
              <w:jc w:val="center"/>
              <w:rPr>
                <w:rFonts w:ascii="宋体" w:hAnsi="宋体"/>
                <w:color w:val="000000"/>
                <w:sz w:val="24"/>
                <w:highlight w:val="none"/>
              </w:rPr>
            </w:pPr>
          </w:p>
        </w:tc>
        <w:tc>
          <w:tcPr>
            <w:tcW w:w="1003" w:type="dxa"/>
            <w:vMerge w:val="continue"/>
            <w:tcBorders>
              <w:right w:val="single" w:color="auto" w:sz="4" w:space="0"/>
            </w:tcBorders>
            <w:vAlign w:val="center"/>
          </w:tcPr>
          <w:p>
            <w:pPr>
              <w:adjustRightInd w:val="0"/>
              <w:snapToGrid w:val="0"/>
              <w:spacing w:line="500" w:lineRule="atLeast"/>
              <w:rPr>
                <w:rFonts w:ascii="宋体" w:hAnsi="宋体"/>
                <w:color w:val="000000"/>
                <w:sz w:val="24"/>
                <w:highlight w:val="none"/>
              </w:rPr>
            </w:pPr>
          </w:p>
        </w:tc>
        <w:tc>
          <w:tcPr>
            <w:tcW w:w="1644" w:type="dxa"/>
            <w:vMerge w:val="restart"/>
            <w:tcBorders>
              <w:top w:val="single" w:color="auto" w:sz="4" w:space="0"/>
              <w:left w:val="single" w:color="auto" w:sz="4" w:space="0"/>
              <w:right w:val="single" w:color="auto" w:sz="4" w:space="0"/>
            </w:tcBorders>
            <w:vAlign w:val="center"/>
          </w:tcPr>
          <w:p>
            <w:pPr>
              <w:spacing w:line="440" w:lineRule="exact"/>
              <w:jc w:val="center"/>
              <w:rPr>
                <w:b/>
                <w:bCs/>
                <w:sz w:val="24"/>
                <w:highlight w:val="none"/>
              </w:rPr>
            </w:pPr>
            <w:r>
              <w:rPr>
                <w:rFonts w:hint="eastAsia"/>
                <w:b/>
                <w:bCs/>
                <w:sz w:val="24"/>
                <w:highlight w:val="none"/>
              </w:rPr>
              <w:t>报价部分评分标准</w:t>
            </w:r>
          </w:p>
          <w:p>
            <w:pPr>
              <w:spacing w:line="440" w:lineRule="exact"/>
              <w:jc w:val="center"/>
              <w:rPr>
                <w:rFonts w:ascii="宋体" w:hAnsi="宋体"/>
                <w:color w:val="000000"/>
                <w:sz w:val="24"/>
                <w:highlight w:val="none"/>
              </w:rPr>
            </w:pPr>
            <w:r>
              <w:rPr>
                <w:rFonts w:hint="eastAsia"/>
                <w:b/>
                <w:bCs/>
                <w:sz w:val="24"/>
                <w:highlight w:val="none"/>
              </w:rPr>
              <w:t>4</w:t>
            </w:r>
            <w:r>
              <w:rPr>
                <w:rFonts w:hint="eastAsia" w:eastAsia="宋体"/>
                <w:b/>
                <w:bCs/>
                <w:sz w:val="24"/>
                <w:highlight w:val="none"/>
                <w:lang w:val="en-US" w:eastAsia="zh-CN"/>
              </w:rPr>
              <w:t>5</w:t>
            </w:r>
            <w:r>
              <w:rPr>
                <w:rFonts w:hint="eastAsia"/>
                <w:b/>
                <w:bCs/>
                <w:sz w:val="24"/>
                <w:highlight w:val="none"/>
              </w:rPr>
              <w:t>分</w:t>
            </w:r>
          </w:p>
        </w:tc>
        <w:tc>
          <w:tcPr>
            <w:tcW w:w="6545" w:type="dxa"/>
            <w:gridSpan w:val="2"/>
            <w:vMerge w:val="restart"/>
            <w:tcBorders>
              <w:left w:val="single" w:color="auto" w:sz="4" w:space="0"/>
              <w:right w:val="single" w:color="auto" w:sz="4" w:space="0"/>
            </w:tcBorders>
            <w:vAlign w:val="center"/>
          </w:tcPr>
          <w:p>
            <w:pPr>
              <w:adjustRightInd w:val="0"/>
              <w:snapToGrid w:val="0"/>
              <w:spacing w:line="420" w:lineRule="exact"/>
              <w:rPr>
                <w:rFonts w:ascii="宋体" w:hAnsi="宋体"/>
                <w:color w:val="000000"/>
                <w:sz w:val="24"/>
                <w:highlight w:val="none"/>
              </w:rPr>
            </w:pPr>
            <w:r>
              <w:rPr>
                <w:rFonts w:hint="eastAsia" w:asciiTheme="minorEastAsia" w:hAnsiTheme="minorEastAsia" w:eastAsiaTheme="minorEastAsia"/>
                <w:color w:val="000000"/>
                <w:sz w:val="24"/>
                <w:highlight w:val="none"/>
              </w:rPr>
              <w:t>投标方</w:t>
            </w:r>
            <w:r>
              <w:rPr>
                <w:rFonts w:hint="eastAsia" w:asciiTheme="minorEastAsia" w:hAnsiTheme="minorEastAsia" w:eastAsiaTheme="minorEastAsia"/>
                <w:color w:val="000000"/>
                <w:sz w:val="24"/>
                <w:highlight w:val="none"/>
                <w:lang w:eastAsia="zh-CN"/>
              </w:rPr>
              <w:t>本项目</w:t>
            </w:r>
            <w:r>
              <w:rPr>
                <w:rFonts w:hint="eastAsia" w:asciiTheme="minorEastAsia" w:hAnsiTheme="minorEastAsia" w:eastAsiaTheme="minorEastAsia"/>
                <w:color w:val="000000"/>
                <w:sz w:val="24"/>
                <w:highlight w:val="none"/>
              </w:rPr>
              <w:t>报价（软件、硬件和实施及服务费用）加上验收合格后5年内的总服务费之和为评分价格，每家投标方加权平均金额为基价，定为基础</w:t>
            </w:r>
            <w:r>
              <w:rPr>
                <w:rFonts w:hint="eastAsia" w:asciiTheme="minorEastAsia" w:hAnsiTheme="minorEastAsia" w:eastAsiaTheme="minorEastAsia"/>
                <w:color w:val="000000"/>
                <w:sz w:val="24"/>
                <w:highlight w:val="none"/>
                <w:lang w:val="en-US" w:eastAsia="zh-CN"/>
              </w:rPr>
              <w:t>35</w:t>
            </w:r>
            <w:r>
              <w:rPr>
                <w:rFonts w:hint="eastAsia" w:asciiTheme="minorEastAsia" w:hAnsiTheme="minorEastAsia" w:eastAsiaTheme="minorEastAsia"/>
                <w:color w:val="000000"/>
                <w:sz w:val="24"/>
                <w:highlight w:val="none"/>
              </w:rPr>
              <w:t>分。每高于基价1%扣1分，以此类推，最多扣10分；每低于基价1%</w:t>
            </w:r>
            <w:r>
              <w:rPr>
                <w:rFonts w:hint="eastAsia" w:asciiTheme="minorEastAsia" w:hAnsiTheme="minorEastAsia" w:eastAsiaTheme="minorEastAsia"/>
                <w:color w:val="000000"/>
                <w:sz w:val="24"/>
                <w:highlight w:val="none"/>
                <w:lang w:eastAsia="zh-CN"/>
              </w:rPr>
              <w:t>加</w:t>
            </w:r>
            <w:r>
              <w:rPr>
                <w:rFonts w:hint="eastAsia" w:asciiTheme="minorEastAsia" w:hAnsiTheme="minorEastAsia" w:eastAsiaTheme="minorEastAsia"/>
                <w:color w:val="000000"/>
                <w:sz w:val="24"/>
                <w:highlight w:val="none"/>
              </w:rPr>
              <w:t>0.5分，以此类推，最多</w:t>
            </w:r>
            <w:r>
              <w:rPr>
                <w:rFonts w:hint="eastAsia" w:asciiTheme="minorEastAsia" w:hAnsiTheme="minorEastAsia" w:eastAsiaTheme="minorEastAsia"/>
                <w:color w:val="000000"/>
                <w:sz w:val="24"/>
                <w:highlight w:val="none"/>
                <w:lang w:val="en-US" w:eastAsia="zh-CN"/>
              </w:rPr>
              <w:t>加10</w:t>
            </w:r>
            <w:r>
              <w:rPr>
                <w:rFonts w:hint="eastAsia" w:asciiTheme="minorEastAsia" w:hAnsiTheme="minorEastAsia" w:eastAsiaTheme="minorEastAsia"/>
                <w:color w:val="000000"/>
                <w:sz w:val="24"/>
                <w:highlight w:val="none"/>
              </w:rPr>
              <w:t>分（不足1%采取四舍五入法）。</w:t>
            </w:r>
            <w:r>
              <w:rPr>
                <w:rFonts w:hint="eastAsia" w:asciiTheme="minorEastAsia" w:hAnsiTheme="minorEastAsia" w:eastAsiaTheme="minorEastAsia"/>
                <w:color w:val="000000"/>
                <w:sz w:val="24"/>
                <w:highlight w:val="none"/>
                <w:lang w:eastAsia="zh-CN"/>
              </w:rPr>
              <w:t>（</w:t>
            </w:r>
            <w:r>
              <w:rPr>
                <w:rFonts w:hint="eastAsia" w:ascii="宋体" w:hAnsi="宋体"/>
                <w:b/>
                <w:color w:val="000000"/>
                <w:sz w:val="24"/>
                <w:highlight w:val="none"/>
              </w:rPr>
              <w:t>本项最多4</w:t>
            </w:r>
            <w:r>
              <w:rPr>
                <w:rFonts w:hint="eastAsia" w:ascii="宋体" w:hAnsi="宋体" w:eastAsia="宋体"/>
                <w:b/>
                <w:color w:val="000000"/>
                <w:sz w:val="24"/>
                <w:highlight w:val="none"/>
                <w:lang w:val="en-US" w:eastAsia="zh-CN"/>
              </w:rPr>
              <w:t>5</w:t>
            </w:r>
            <w:r>
              <w:rPr>
                <w:rFonts w:hint="eastAsia" w:ascii="宋体" w:hAnsi="宋体"/>
                <w:b/>
                <w:color w:val="000000"/>
                <w:sz w:val="24"/>
                <w:highlight w:val="none"/>
              </w:rPr>
              <w:t>分</w:t>
            </w:r>
            <w:r>
              <w:rPr>
                <w:rFonts w:hint="eastAsia" w:asciiTheme="minorEastAsia" w:hAnsiTheme="minorEastAsia" w:eastAsiaTheme="minorEastAsia"/>
                <w:color w:val="00000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881" w:type="dxa"/>
            <w:tcBorders>
              <w:right w:val="single" w:color="auto" w:sz="4" w:space="0"/>
            </w:tcBorders>
            <w:vAlign w:val="center"/>
          </w:tcPr>
          <w:p>
            <w:pPr>
              <w:spacing w:line="440" w:lineRule="exact"/>
              <w:jc w:val="center"/>
              <w:rPr>
                <w:rFonts w:ascii="宋体" w:hAnsi="宋体"/>
                <w:color w:val="000000"/>
                <w:sz w:val="24"/>
              </w:rPr>
            </w:pPr>
          </w:p>
        </w:tc>
        <w:tc>
          <w:tcPr>
            <w:tcW w:w="1003" w:type="dxa"/>
            <w:tcBorders>
              <w:right w:val="single" w:color="auto" w:sz="4" w:space="0"/>
            </w:tcBorders>
            <w:vAlign w:val="center"/>
          </w:tcPr>
          <w:p>
            <w:pPr>
              <w:adjustRightInd w:val="0"/>
              <w:snapToGrid w:val="0"/>
              <w:spacing w:line="500" w:lineRule="atLeast"/>
              <w:rPr>
                <w:rFonts w:ascii="宋体" w:hAnsi="宋体"/>
                <w:color w:val="000000"/>
                <w:sz w:val="24"/>
              </w:rPr>
            </w:pPr>
          </w:p>
        </w:tc>
        <w:tc>
          <w:tcPr>
            <w:tcW w:w="1644" w:type="dxa"/>
            <w:vMerge w:val="continue"/>
            <w:tcBorders>
              <w:left w:val="single" w:color="auto" w:sz="4" w:space="0"/>
              <w:bottom w:val="single" w:color="auto" w:sz="4" w:space="0"/>
              <w:right w:val="single" w:color="auto" w:sz="4" w:space="0"/>
            </w:tcBorders>
            <w:vAlign w:val="center"/>
          </w:tcPr>
          <w:p>
            <w:pPr>
              <w:spacing w:line="440" w:lineRule="exact"/>
              <w:jc w:val="center"/>
              <w:rPr>
                <w:b/>
                <w:bCs/>
                <w:sz w:val="24"/>
              </w:rPr>
            </w:pPr>
          </w:p>
        </w:tc>
        <w:tc>
          <w:tcPr>
            <w:tcW w:w="654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20" w:lineRule="exact"/>
              <w:rPr>
                <w:rFonts w:ascii="宋体" w:hAnsi="宋体"/>
                <w:color w:val="FF0000"/>
                <w:sz w:val="24"/>
              </w:rPr>
            </w:pPr>
          </w:p>
        </w:tc>
      </w:tr>
    </w:tbl>
    <w:p>
      <w:pPr>
        <w:spacing w:line="400" w:lineRule="exact"/>
        <w:rPr>
          <w:rFonts w:ascii="宋体" w:hAnsi="宋体"/>
          <w:color w:val="000000"/>
          <w:highlight w:val="yellow"/>
        </w:rPr>
      </w:pPr>
    </w:p>
    <w:p>
      <w:pPr>
        <w:adjustRightInd w:val="0"/>
        <w:snapToGrid w:val="0"/>
        <w:spacing w:line="500" w:lineRule="atLeast"/>
        <w:rPr>
          <w:rFonts w:ascii="宋体" w:hAnsi="宋体"/>
        </w:rPr>
      </w:pPr>
      <w:bookmarkStart w:id="60" w:name="_GoBack"/>
      <w:bookmarkEnd w:id="60"/>
    </w:p>
    <w:p>
      <w:pPr>
        <w:adjustRightInd w:val="0"/>
        <w:snapToGrid w:val="0"/>
        <w:spacing w:line="500" w:lineRule="atLeast"/>
        <w:rPr>
          <w:rFonts w:ascii="宋体" w:hAnsi="宋体"/>
          <w:b/>
          <w:sz w:val="32"/>
          <w:szCs w:val="32"/>
        </w:rPr>
      </w:pPr>
    </w:p>
    <w:p>
      <w:pPr>
        <w:rPr>
          <w:rFonts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附件一</w:t>
      </w:r>
    </w:p>
    <w:p>
      <w:pPr>
        <w:rPr>
          <w:rFonts w:ascii="黑体" w:hAnsi="宋体"/>
          <w:sz w:val="28"/>
          <w:szCs w:val="28"/>
        </w:rPr>
      </w:pPr>
      <w:r>
        <w:rPr>
          <w:rFonts w:hint="eastAsia" w:ascii="黑体" w:hAnsi="黑体" w:eastAsia="黑体"/>
          <w:sz w:val="28"/>
          <w:szCs w:val="28"/>
        </w:rPr>
        <w:t xml:space="preserve">                            </w:t>
      </w:r>
      <w:r>
        <w:rPr>
          <w:rFonts w:hint="eastAsia" w:ascii="黑体" w:hAnsi="宋体"/>
          <w:sz w:val="28"/>
          <w:szCs w:val="28"/>
        </w:rPr>
        <w:t>投  标  函</w:t>
      </w:r>
      <w:bookmarkStart w:id="51" w:name="_Toc141675440"/>
    </w:p>
    <w:p>
      <w:pPr>
        <w:pStyle w:val="3"/>
        <w:tabs>
          <w:tab w:val="left" w:pos="454"/>
          <w:tab w:val="left" w:pos="708"/>
        </w:tabs>
        <w:snapToGrid w:val="0"/>
        <w:spacing w:line="500" w:lineRule="atLeast"/>
        <w:jc w:val="left"/>
        <w:rPr>
          <w:rFonts w:ascii="宋体" w:hAnsi="宋体"/>
          <w:szCs w:val="24"/>
        </w:rPr>
      </w:pPr>
      <w:r>
        <w:rPr>
          <w:rFonts w:ascii="宋体" w:hAnsi="宋体"/>
          <w:szCs w:val="24"/>
        </w:rPr>
        <w:t>致：</w:t>
      </w:r>
      <w:r>
        <w:rPr>
          <w:rFonts w:ascii="宋体" w:hAnsi="宋体"/>
          <w:szCs w:val="24"/>
          <w:u w:val="single"/>
        </w:rPr>
        <w:t>（招标方）</w:t>
      </w:r>
    </w:p>
    <w:p>
      <w:pPr>
        <w:adjustRightInd w:val="0"/>
        <w:spacing w:line="324" w:lineRule="auto"/>
        <w:rPr>
          <w:rFonts w:ascii="宋体" w:hAnsi="宋体"/>
          <w:sz w:val="24"/>
        </w:rPr>
      </w:pPr>
      <w:r>
        <w:rPr>
          <w:rFonts w:ascii="宋体" w:hAnsi="宋体"/>
          <w:sz w:val="24"/>
        </w:rPr>
        <w:t xml:space="preserve">     我方根据已收到</w:t>
      </w:r>
      <w:r>
        <w:rPr>
          <w:rFonts w:hint="eastAsia" w:ascii="宋体" w:hAnsi="宋体"/>
          <w:sz w:val="24"/>
        </w:rPr>
        <w:t>或从网上下载</w:t>
      </w:r>
      <w:r>
        <w:rPr>
          <w:rFonts w:ascii="宋体" w:hAnsi="宋体"/>
          <w:sz w:val="24"/>
          <w:u w:val="single"/>
        </w:rPr>
        <w:t xml:space="preserve">   （项目名称</w:t>
      </w:r>
      <w:r>
        <w:rPr>
          <w:rFonts w:hint="eastAsia" w:ascii="宋体" w:hAnsi="宋体"/>
          <w:sz w:val="24"/>
          <w:u w:val="single"/>
        </w:rPr>
        <w:t>、</w:t>
      </w:r>
      <w:r>
        <w:rPr>
          <w:rFonts w:ascii="宋体" w:hAnsi="宋体"/>
          <w:sz w:val="24"/>
          <w:u w:val="single"/>
        </w:rPr>
        <w:t>招标编号</w:t>
      </w:r>
      <w:r>
        <w:rPr>
          <w:rFonts w:hint="eastAsia" w:ascii="宋体" w:hAnsi="宋体"/>
          <w:sz w:val="24"/>
          <w:u w:val="single"/>
        </w:rPr>
        <w:t>、分包号</w:t>
      </w:r>
      <w:r>
        <w:rPr>
          <w:rFonts w:ascii="宋体" w:hAnsi="宋体"/>
          <w:sz w:val="24"/>
          <w:u w:val="single"/>
        </w:rPr>
        <w:t xml:space="preserve">） </w:t>
      </w:r>
      <w:r>
        <w:rPr>
          <w:rFonts w:ascii="宋体" w:hAnsi="宋体"/>
          <w:sz w:val="24"/>
        </w:rPr>
        <w:t xml:space="preserve"> 的招标文件、及有关资料，并已充分理解了该招标文件的全部内容，决定参加投标，经我方研究决定，我方愿意以人民币大写</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，小写</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的投标总价，承担 </w:t>
      </w:r>
      <w:r>
        <w:rPr>
          <w:rFonts w:ascii="宋体" w:hAnsi="宋体"/>
          <w:sz w:val="24"/>
          <w:u w:val="single"/>
        </w:rPr>
        <w:t xml:space="preserve">  （项目名称）、（</w:t>
      </w:r>
      <w:r>
        <w:rPr>
          <w:rFonts w:hint="eastAsia" w:ascii="宋体" w:hAnsi="宋体"/>
          <w:sz w:val="24"/>
          <w:u w:val="single"/>
        </w:rPr>
        <w:t>软件</w:t>
      </w:r>
      <w:r>
        <w:rPr>
          <w:rFonts w:ascii="宋体" w:hAnsi="宋体"/>
          <w:sz w:val="24"/>
          <w:u w:val="single"/>
        </w:rPr>
        <w:t>名称）</w:t>
      </w:r>
      <w:r>
        <w:rPr>
          <w:rFonts w:ascii="宋体" w:hAnsi="宋体"/>
          <w:sz w:val="24"/>
        </w:rPr>
        <w:t xml:space="preserve"> 的（</w:t>
      </w:r>
      <w:r>
        <w:rPr>
          <w:rFonts w:hint="eastAsia" w:ascii="宋体" w:hAnsi="宋体"/>
          <w:sz w:val="24"/>
          <w:u w:val="single"/>
        </w:rPr>
        <w:t>开发、</w:t>
      </w:r>
      <w:r>
        <w:rPr>
          <w:rFonts w:ascii="宋体" w:hAnsi="宋体"/>
          <w:sz w:val="24"/>
          <w:u w:val="single"/>
        </w:rPr>
        <w:t>安装</w:t>
      </w:r>
      <w:r>
        <w:rPr>
          <w:rFonts w:hint="eastAsia" w:ascii="宋体" w:hAnsi="宋体"/>
          <w:sz w:val="24"/>
          <w:u w:val="single"/>
        </w:rPr>
        <w:t>、实施</w:t>
      </w:r>
      <w:r>
        <w:rPr>
          <w:rFonts w:ascii="宋体" w:hAnsi="宋体"/>
          <w:sz w:val="24"/>
          <w:u w:val="single"/>
        </w:rPr>
        <w:t>）</w:t>
      </w:r>
      <w:r>
        <w:rPr>
          <w:rFonts w:ascii="宋体" w:hAnsi="宋体"/>
          <w:sz w:val="24"/>
        </w:rPr>
        <w:t>等以及在</w:t>
      </w:r>
      <w:r>
        <w:rPr>
          <w:rFonts w:hint="eastAsia" w:ascii="宋体" w:hAnsi="宋体"/>
          <w:sz w:val="24"/>
        </w:rPr>
        <w:t>维护期</w:t>
      </w:r>
      <w:r>
        <w:rPr>
          <w:rFonts w:ascii="宋体" w:hAnsi="宋体"/>
          <w:sz w:val="24"/>
        </w:rPr>
        <w:t xml:space="preserve">（质量保证期）内的服务。为此，我方就以下内容分别做出承诺： </w:t>
      </w:r>
    </w:p>
    <w:p>
      <w:pPr>
        <w:adjustRightInd w:val="0"/>
        <w:spacing w:line="324" w:lineRule="auto"/>
        <w:ind w:firstLine="480" w:firstLineChars="200"/>
        <w:rPr>
          <w:rFonts w:ascii="宋体" w:hAnsi="宋体"/>
          <w:sz w:val="24"/>
        </w:rPr>
      </w:pPr>
      <w:r>
        <w:rPr>
          <w:rFonts w:ascii="宋体" w:hAnsi="宋体"/>
          <w:sz w:val="24"/>
        </w:rPr>
        <w:t>1、</w:t>
      </w:r>
      <w:r>
        <w:rPr>
          <w:rFonts w:hint="eastAsia" w:ascii="宋体" w:hAnsi="宋体"/>
          <w:sz w:val="24"/>
        </w:rPr>
        <w:t>我方按照投标报价及相关</w:t>
      </w:r>
      <w:r>
        <w:rPr>
          <w:rFonts w:ascii="宋体" w:hAnsi="宋体"/>
          <w:sz w:val="24"/>
        </w:rPr>
        <w:t>要求，提供的全部投标文件</w:t>
      </w:r>
      <w:r>
        <w:rPr>
          <w:rFonts w:hint="eastAsia" w:ascii="宋体" w:hAnsi="宋体"/>
          <w:sz w:val="24"/>
        </w:rPr>
        <w:t>，</w:t>
      </w:r>
      <w:r>
        <w:rPr>
          <w:rFonts w:ascii="宋体" w:hAnsi="宋体"/>
          <w:sz w:val="24"/>
        </w:rPr>
        <w:t>包括正本</w:t>
      </w:r>
      <w:r>
        <w:rPr>
          <w:rFonts w:ascii="宋体" w:hAnsi="宋体"/>
          <w:sz w:val="24"/>
          <w:u w:val="single"/>
        </w:rPr>
        <w:t xml:space="preserve">   </w:t>
      </w:r>
      <w:r>
        <w:rPr>
          <w:rFonts w:hint="eastAsia" w:ascii="宋体" w:hAnsi="宋体"/>
          <w:sz w:val="24"/>
          <w:u w:val="single"/>
        </w:rPr>
        <w:t xml:space="preserve">  </w:t>
      </w:r>
      <w:r>
        <w:rPr>
          <w:rFonts w:ascii="宋体" w:hAnsi="宋体"/>
          <w:sz w:val="24"/>
        </w:rPr>
        <w:t>份，副本</w:t>
      </w:r>
      <w:r>
        <w:rPr>
          <w:rFonts w:ascii="宋体" w:hAnsi="宋体"/>
          <w:sz w:val="24"/>
          <w:u w:val="single"/>
        </w:rPr>
        <w:t xml:space="preserve">     </w:t>
      </w:r>
      <w:r>
        <w:rPr>
          <w:rFonts w:ascii="宋体" w:hAnsi="宋体"/>
          <w:sz w:val="24"/>
        </w:rPr>
        <w:t>份，电子版投标文件</w:t>
      </w:r>
      <w:r>
        <w:rPr>
          <w:rFonts w:ascii="宋体" w:hAnsi="宋体"/>
          <w:sz w:val="24"/>
          <w:u w:val="single"/>
        </w:rPr>
        <w:t xml:space="preserve">     </w:t>
      </w:r>
      <w:r>
        <w:rPr>
          <w:rFonts w:ascii="宋体" w:hAnsi="宋体"/>
          <w:sz w:val="24"/>
        </w:rPr>
        <w:t>份；</w:t>
      </w:r>
    </w:p>
    <w:p>
      <w:pPr>
        <w:adjustRightInd w:val="0"/>
        <w:spacing w:line="324" w:lineRule="auto"/>
        <w:ind w:firstLine="480" w:firstLineChars="200"/>
        <w:rPr>
          <w:rFonts w:ascii="宋体" w:hAnsi="宋体"/>
          <w:sz w:val="24"/>
        </w:rPr>
      </w:pPr>
      <w:r>
        <w:rPr>
          <w:rFonts w:ascii="宋体" w:hAnsi="宋体"/>
          <w:sz w:val="24"/>
        </w:rPr>
        <w:t>2、我方已详细审查全部招标文件，包括修改文件（如有的话）以及全部参考资料和有关附件，我们完全理解上述文件的内容并同意放弃对上述文件的内容有不明及误解的追究权利；</w:t>
      </w:r>
    </w:p>
    <w:p>
      <w:pPr>
        <w:adjustRightInd w:val="0"/>
        <w:spacing w:line="324" w:lineRule="auto"/>
        <w:ind w:firstLine="480" w:firstLineChars="200"/>
        <w:rPr>
          <w:rFonts w:ascii="宋体" w:hAnsi="宋体"/>
          <w:sz w:val="24"/>
        </w:rPr>
      </w:pPr>
      <w:r>
        <w:rPr>
          <w:rFonts w:ascii="宋体" w:hAnsi="宋体"/>
          <w:sz w:val="24"/>
        </w:rPr>
        <w:t>3、我方承诺我们的投标文件中有关资格资信的证明文件、技术文件及相关陈述全部是真实的准确的，若有违背，我方将承担由此造成的一切后果；</w:t>
      </w:r>
    </w:p>
    <w:p>
      <w:pPr>
        <w:adjustRightInd w:val="0"/>
        <w:spacing w:line="324" w:lineRule="auto"/>
        <w:ind w:firstLine="480" w:firstLineChars="200"/>
        <w:rPr>
          <w:rFonts w:ascii="宋体" w:hAnsi="宋体"/>
          <w:sz w:val="24"/>
        </w:rPr>
      </w:pPr>
      <w:r>
        <w:rPr>
          <w:rFonts w:ascii="宋体" w:hAnsi="宋体"/>
          <w:sz w:val="24"/>
        </w:rPr>
        <w:t>4、如果我方中标，我方保证在</w:t>
      </w:r>
      <w:r>
        <w:rPr>
          <w:rFonts w:ascii="宋体" w:hAnsi="宋体"/>
          <w:sz w:val="24"/>
          <w:u w:val="single"/>
        </w:rPr>
        <w:t xml:space="preserve">          </w:t>
      </w:r>
      <w:r>
        <w:rPr>
          <w:rFonts w:hint="eastAsia" w:ascii="宋体" w:hAnsi="宋体"/>
          <w:sz w:val="24"/>
          <w:u w:val="single"/>
        </w:rPr>
        <w:t>（</w:t>
      </w:r>
      <w:r>
        <w:rPr>
          <w:rFonts w:ascii="宋体" w:hAnsi="宋体"/>
          <w:sz w:val="24"/>
        </w:rPr>
        <w:t>日历</w:t>
      </w:r>
      <w:r>
        <w:rPr>
          <w:rFonts w:hint="eastAsia" w:ascii="宋体" w:hAnsi="宋体"/>
          <w:sz w:val="24"/>
        </w:rPr>
        <w:t>日或个月）</w:t>
      </w:r>
      <w:r>
        <w:rPr>
          <w:rFonts w:ascii="宋体" w:hAnsi="宋体"/>
          <w:sz w:val="24"/>
        </w:rPr>
        <w:t>内交</w:t>
      </w:r>
      <w:r>
        <w:rPr>
          <w:rFonts w:hint="eastAsia" w:ascii="宋体" w:hAnsi="宋体"/>
          <w:sz w:val="24"/>
        </w:rPr>
        <w:t>付</w:t>
      </w:r>
      <w:r>
        <w:rPr>
          <w:rFonts w:ascii="宋体" w:hAnsi="宋体"/>
          <w:sz w:val="24"/>
        </w:rPr>
        <w:t>至</w:t>
      </w:r>
      <w:r>
        <w:rPr>
          <w:rFonts w:ascii="宋体" w:hAnsi="宋体"/>
          <w:sz w:val="24"/>
          <w:u w:val="single"/>
        </w:rPr>
        <w:t xml:space="preserve">  （交货地点</w:t>
      </w:r>
      <w:r>
        <w:rPr>
          <w:rFonts w:hint="eastAsia" w:ascii="宋体" w:hAnsi="宋体"/>
          <w:sz w:val="24"/>
          <w:u w:val="single"/>
        </w:rPr>
        <w:t>，并完成安装、实施、验收合格</w:t>
      </w:r>
      <w:r>
        <w:rPr>
          <w:rFonts w:ascii="宋体" w:hAnsi="宋体"/>
          <w:sz w:val="24"/>
          <w:u w:val="single"/>
        </w:rPr>
        <w:t xml:space="preserve">）  </w:t>
      </w:r>
      <w:r>
        <w:rPr>
          <w:rFonts w:ascii="宋体" w:hAnsi="宋体"/>
          <w:sz w:val="24"/>
        </w:rPr>
        <w:t>；并保证</w:t>
      </w:r>
      <w:r>
        <w:rPr>
          <w:rFonts w:hint="eastAsia" w:ascii="宋体" w:hAnsi="宋体"/>
          <w:sz w:val="24"/>
        </w:rPr>
        <w:t>我方</w:t>
      </w:r>
      <w:r>
        <w:rPr>
          <w:rFonts w:ascii="宋体" w:hAnsi="宋体"/>
          <w:sz w:val="24"/>
        </w:rPr>
        <w:t>提供的</w:t>
      </w:r>
      <w:r>
        <w:rPr>
          <w:rFonts w:hint="eastAsia" w:ascii="宋体" w:hAnsi="宋体"/>
          <w:sz w:val="24"/>
        </w:rPr>
        <w:t>软</w:t>
      </w:r>
      <w:r>
        <w:rPr>
          <w:rFonts w:hint="eastAsia" w:ascii="宋体" w:hAnsi="宋体" w:eastAsia="宋体"/>
          <w:sz w:val="24"/>
        </w:rPr>
        <w:t>件</w:t>
      </w:r>
      <w:r>
        <w:rPr>
          <w:rFonts w:ascii="宋体" w:hAnsi="宋体"/>
          <w:sz w:val="24"/>
        </w:rPr>
        <w:t>及</w:t>
      </w:r>
      <w:r>
        <w:rPr>
          <w:rFonts w:hint="eastAsia" w:ascii="宋体" w:hAnsi="宋体"/>
          <w:sz w:val="24"/>
        </w:rPr>
        <w:t>伴随</w:t>
      </w:r>
      <w:r>
        <w:rPr>
          <w:rFonts w:ascii="宋体" w:hAnsi="宋体"/>
          <w:sz w:val="24"/>
        </w:rPr>
        <w:t>服务满足招标文件要求；</w:t>
      </w:r>
    </w:p>
    <w:p>
      <w:pPr>
        <w:adjustRightInd w:val="0"/>
        <w:spacing w:line="324" w:lineRule="auto"/>
        <w:ind w:firstLine="480" w:firstLineChars="200"/>
        <w:rPr>
          <w:rFonts w:ascii="宋体" w:hAnsi="宋体"/>
          <w:sz w:val="24"/>
        </w:rPr>
      </w:pPr>
      <w:r>
        <w:rPr>
          <w:rFonts w:ascii="宋体" w:hAnsi="宋体"/>
          <w:sz w:val="24"/>
        </w:rPr>
        <w:t>5、如果我方中标，我方将在</w:t>
      </w:r>
      <w:r>
        <w:rPr>
          <w:rFonts w:hint="eastAsia" w:ascii="宋体" w:hAnsi="宋体"/>
          <w:sz w:val="24"/>
        </w:rPr>
        <w:t>接</w:t>
      </w:r>
      <w:r>
        <w:rPr>
          <w:rFonts w:ascii="宋体" w:hAnsi="宋体"/>
          <w:sz w:val="24"/>
        </w:rPr>
        <w:t>到中标通知书</w:t>
      </w:r>
      <w:r>
        <w:rPr>
          <w:rFonts w:hint="eastAsia" w:ascii="宋体" w:hAnsi="宋体"/>
          <w:sz w:val="24"/>
          <w:u w:val="single"/>
        </w:rPr>
        <w:t xml:space="preserve"> 5</w:t>
      </w:r>
      <w:r>
        <w:rPr>
          <w:rFonts w:ascii="宋体" w:hAnsi="宋体"/>
          <w:sz w:val="24"/>
          <w:u w:val="single"/>
        </w:rPr>
        <w:t xml:space="preserve"> </w:t>
      </w:r>
      <w:r>
        <w:rPr>
          <w:rFonts w:hint="eastAsia" w:ascii="宋体" w:hAnsi="宋体"/>
          <w:sz w:val="24"/>
        </w:rPr>
        <w:t xml:space="preserve"> </w:t>
      </w:r>
      <w:r>
        <w:rPr>
          <w:rFonts w:ascii="宋体" w:hAnsi="宋体"/>
          <w:sz w:val="24"/>
        </w:rPr>
        <w:t>日内</w:t>
      </w:r>
      <w:r>
        <w:rPr>
          <w:rFonts w:hint="eastAsia" w:ascii="宋体" w:hAnsi="宋体"/>
          <w:sz w:val="24"/>
        </w:rPr>
        <w:t>，向招标方</w:t>
      </w:r>
      <w:r>
        <w:rPr>
          <w:rFonts w:ascii="宋体" w:hAnsi="宋体"/>
          <w:sz w:val="24"/>
        </w:rPr>
        <w:t>提供合同金额</w:t>
      </w:r>
    </w:p>
    <w:p>
      <w:pPr>
        <w:adjustRightInd w:val="0"/>
        <w:spacing w:line="324" w:lineRule="auto"/>
        <w:rPr>
          <w:rFonts w:ascii="宋体" w:hAnsi="宋体"/>
          <w:sz w:val="24"/>
        </w:rPr>
      </w:pPr>
      <w:r>
        <w:rPr>
          <w:rFonts w:hint="eastAsia" w:asciiTheme="minorEastAsia" w:hAnsiTheme="minorEastAsia" w:eastAsiaTheme="minorEastAsia"/>
          <w:sz w:val="24"/>
        </w:rPr>
        <w:t>的</w:t>
      </w:r>
      <w:r>
        <w:rPr>
          <w:rFonts w:ascii="宋体" w:hAnsi="宋体"/>
          <w:sz w:val="24"/>
          <w:u w:val="single"/>
        </w:rPr>
        <w:t xml:space="preserve"> </w:t>
      </w:r>
      <w:r>
        <w:rPr>
          <w:rFonts w:hint="eastAsia" w:ascii="宋体" w:hAnsi="宋体"/>
          <w:sz w:val="24"/>
          <w:u w:val="single"/>
        </w:rPr>
        <w:t>10</w:t>
      </w:r>
      <w:r>
        <w:rPr>
          <w:rFonts w:ascii="宋体" w:hAnsi="宋体"/>
          <w:sz w:val="24"/>
          <w:u w:val="single"/>
        </w:rPr>
        <w:t xml:space="preserve"> </w:t>
      </w:r>
      <w:r>
        <w:rPr>
          <w:rFonts w:ascii="宋体" w:hAnsi="宋体"/>
          <w:sz w:val="24"/>
        </w:rPr>
        <w:t>%履约保证金，保证忠实地执行买卖双方所签的经济合同，承担合同规定的责任和义务；</w:t>
      </w:r>
    </w:p>
    <w:p>
      <w:pPr>
        <w:adjustRightInd w:val="0"/>
        <w:spacing w:line="324" w:lineRule="auto"/>
        <w:ind w:firstLine="480" w:firstLineChars="200"/>
        <w:rPr>
          <w:rFonts w:ascii="宋体" w:hAnsi="宋体"/>
          <w:sz w:val="24"/>
        </w:rPr>
      </w:pPr>
      <w:r>
        <w:rPr>
          <w:rFonts w:ascii="宋体" w:hAnsi="宋体"/>
          <w:sz w:val="24"/>
        </w:rPr>
        <w:t>6、我方的投标有效期为：自开标之日起</w:t>
      </w:r>
      <w:r>
        <w:rPr>
          <w:rFonts w:ascii="宋体" w:hAnsi="宋体"/>
          <w:sz w:val="24"/>
          <w:u w:val="single"/>
        </w:rPr>
        <w:t>90</w:t>
      </w:r>
      <w:r>
        <w:rPr>
          <w:rFonts w:ascii="宋体" w:hAnsi="宋体"/>
          <w:sz w:val="24"/>
        </w:rPr>
        <w:t>个日历日；</w:t>
      </w:r>
    </w:p>
    <w:p>
      <w:pPr>
        <w:adjustRightInd w:val="0"/>
        <w:spacing w:line="324" w:lineRule="auto"/>
        <w:ind w:firstLine="480" w:firstLineChars="200"/>
        <w:rPr>
          <w:rFonts w:ascii="宋体" w:hAnsi="宋体"/>
          <w:sz w:val="24"/>
        </w:rPr>
      </w:pPr>
      <w:r>
        <w:rPr>
          <w:rFonts w:ascii="宋体" w:hAnsi="宋体"/>
          <w:sz w:val="24"/>
        </w:rPr>
        <w:t>7、如果我方中标，我方将按招标文件的规定履行合同责任和义务；</w:t>
      </w:r>
    </w:p>
    <w:p>
      <w:pPr>
        <w:adjustRightInd w:val="0"/>
        <w:spacing w:line="324" w:lineRule="auto"/>
        <w:ind w:firstLine="480" w:firstLineChars="200"/>
        <w:rPr>
          <w:rFonts w:ascii="宋体" w:hAnsi="宋体"/>
          <w:sz w:val="24"/>
        </w:rPr>
      </w:pPr>
      <w:r>
        <w:rPr>
          <w:rFonts w:ascii="宋体" w:hAnsi="宋体"/>
          <w:sz w:val="24"/>
        </w:rPr>
        <w:t>8、如果我方中标，我方将接受项目的相关管理要求；</w:t>
      </w:r>
    </w:p>
    <w:p>
      <w:pPr>
        <w:adjustRightInd w:val="0"/>
        <w:spacing w:line="324" w:lineRule="auto"/>
        <w:ind w:firstLine="480" w:firstLineChars="200"/>
        <w:rPr>
          <w:rFonts w:ascii="宋体" w:hAnsi="宋体"/>
          <w:sz w:val="24"/>
        </w:rPr>
      </w:pPr>
      <w:r>
        <w:rPr>
          <w:rFonts w:ascii="宋体" w:hAnsi="宋体"/>
          <w:sz w:val="24"/>
        </w:rPr>
        <w:t>9、如果我方中标，我方保证按招标文件要求，将</w:t>
      </w:r>
      <w:r>
        <w:rPr>
          <w:rFonts w:hint="eastAsia" w:ascii="宋体" w:hAnsi="宋体"/>
          <w:sz w:val="24"/>
        </w:rPr>
        <w:t>10%履约保证金</w:t>
      </w:r>
      <w:r>
        <w:rPr>
          <w:rFonts w:ascii="宋体" w:hAnsi="宋体"/>
          <w:sz w:val="24"/>
        </w:rPr>
        <w:t>付给贵</w:t>
      </w:r>
      <w:r>
        <w:rPr>
          <w:rFonts w:hint="eastAsia" w:ascii="宋体" w:hAnsi="宋体"/>
          <w:sz w:val="24"/>
        </w:rPr>
        <w:t>方</w:t>
      </w:r>
      <w:r>
        <w:rPr>
          <w:rFonts w:ascii="宋体" w:hAnsi="宋体"/>
          <w:sz w:val="24"/>
        </w:rPr>
        <w:t>；</w:t>
      </w:r>
    </w:p>
    <w:p>
      <w:pPr>
        <w:adjustRightInd w:val="0"/>
        <w:spacing w:line="324" w:lineRule="auto"/>
        <w:ind w:firstLine="360" w:firstLineChars="150"/>
        <w:rPr>
          <w:rFonts w:ascii="宋体" w:hAnsi="宋体"/>
          <w:sz w:val="24"/>
        </w:rPr>
      </w:pPr>
      <w:r>
        <w:rPr>
          <w:rFonts w:ascii="宋体" w:hAnsi="宋体"/>
          <w:sz w:val="24"/>
        </w:rPr>
        <w:t>10、如果在规定的开标时间后，我方在投标有效期内撤回投标，同意贵方不退还我方的投标保证金。</w:t>
      </w:r>
    </w:p>
    <w:p>
      <w:pPr>
        <w:adjustRightInd w:val="0"/>
        <w:spacing w:line="324" w:lineRule="auto"/>
        <w:ind w:firstLine="480" w:firstLineChars="200"/>
        <w:rPr>
          <w:rFonts w:ascii="宋体" w:hAnsi="宋体"/>
          <w:sz w:val="24"/>
        </w:rPr>
      </w:pPr>
      <w:r>
        <w:rPr>
          <w:rFonts w:ascii="宋体" w:hAnsi="宋体"/>
          <w:sz w:val="24"/>
        </w:rPr>
        <w:t>投标方：</w:t>
      </w:r>
      <w:r>
        <w:rPr>
          <w:rFonts w:ascii="宋体" w:hAnsi="宋体"/>
          <w:sz w:val="24"/>
          <w:u w:val="single"/>
        </w:rPr>
        <w:t xml:space="preserve">                                            </w:t>
      </w:r>
      <w:r>
        <w:rPr>
          <w:rFonts w:ascii="宋体" w:hAnsi="宋体"/>
          <w:sz w:val="24"/>
        </w:rPr>
        <w:t xml:space="preserve"> （盖</w:t>
      </w:r>
      <w:r>
        <w:rPr>
          <w:rFonts w:hint="eastAsia" w:ascii="宋体" w:hAnsi="宋体"/>
          <w:sz w:val="24"/>
        </w:rPr>
        <w:t>公</w:t>
      </w:r>
      <w:r>
        <w:rPr>
          <w:rFonts w:ascii="宋体" w:hAnsi="宋体"/>
          <w:sz w:val="24"/>
        </w:rPr>
        <w:t xml:space="preserve">章）     </w:t>
      </w:r>
    </w:p>
    <w:p>
      <w:pPr>
        <w:adjustRightInd w:val="0"/>
        <w:spacing w:line="324" w:lineRule="auto"/>
        <w:ind w:firstLine="480" w:firstLineChars="200"/>
        <w:rPr>
          <w:rFonts w:ascii="宋体" w:hAnsi="宋体"/>
          <w:sz w:val="24"/>
        </w:rPr>
      </w:pPr>
      <w:r>
        <w:rPr>
          <w:rFonts w:ascii="宋体" w:hAnsi="宋体"/>
          <w:sz w:val="24"/>
        </w:rPr>
        <w:t>法定代表人或其授权委托人：</w:t>
      </w:r>
      <w:r>
        <w:rPr>
          <w:rFonts w:ascii="宋体" w:hAnsi="宋体"/>
          <w:sz w:val="24"/>
          <w:u w:val="single"/>
        </w:rPr>
        <w:t xml:space="preserve">                  </w:t>
      </w:r>
      <w:r>
        <w:rPr>
          <w:rFonts w:ascii="宋体" w:hAnsi="宋体"/>
          <w:sz w:val="24"/>
        </w:rPr>
        <w:t xml:space="preserve"> （签字）</w:t>
      </w:r>
    </w:p>
    <w:p>
      <w:pPr>
        <w:adjustRightInd w:val="0"/>
        <w:spacing w:line="324" w:lineRule="auto"/>
        <w:ind w:firstLine="480" w:firstLineChars="200"/>
        <w:rPr>
          <w:rFonts w:ascii="宋体" w:hAnsi="宋体"/>
          <w:sz w:val="24"/>
        </w:rPr>
      </w:pPr>
      <w:r>
        <w:rPr>
          <w:rFonts w:ascii="宋体" w:hAnsi="宋体"/>
          <w:sz w:val="24"/>
        </w:rPr>
        <w:t>日   期：</w:t>
      </w:r>
      <w:r>
        <w:rPr>
          <w:rFonts w:ascii="宋体" w:hAnsi="宋体"/>
          <w:sz w:val="24"/>
          <w:u w:val="single"/>
        </w:rPr>
        <w:t xml:space="preserve">                                          </w:t>
      </w:r>
      <w:r>
        <w:rPr>
          <w:rFonts w:ascii="宋体" w:hAnsi="宋体"/>
          <w:sz w:val="24"/>
        </w:rPr>
        <w:t xml:space="preserve">             </w:t>
      </w:r>
    </w:p>
    <w:p>
      <w:pPr>
        <w:adjustRightInd w:val="0"/>
        <w:spacing w:line="324" w:lineRule="auto"/>
        <w:ind w:firstLine="480" w:firstLineChars="200"/>
        <w:rPr>
          <w:rFonts w:ascii="宋体" w:hAnsi="宋体"/>
          <w:sz w:val="24"/>
          <w:u w:val="single"/>
        </w:rPr>
      </w:pPr>
      <w:r>
        <w:rPr>
          <w:rFonts w:ascii="宋体" w:hAnsi="宋体"/>
          <w:sz w:val="24"/>
        </w:rPr>
        <w:t>地   址：</w:t>
      </w:r>
      <w:r>
        <w:rPr>
          <w:rFonts w:ascii="宋体" w:hAnsi="宋体"/>
          <w:sz w:val="24"/>
          <w:u w:val="single"/>
        </w:rPr>
        <w:t xml:space="preserve">                                             </w:t>
      </w:r>
      <w:r>
        <w:rPr>
          <w:rFonts w:ascii="宋体" w:hAnsi="宋体"/>
          <w:sz w:val="24"/>
        </w:rPr>
        <w:t xml:space="preserve">             </w:t>
      </w:r>
    </w:p>
    <w:p>
      <w:pPr>
        <w:spacing w:line="324" w:lineRule="auto"/>
        <w:ind w:firstLine="480" w:firstLineChars="200"/>
        <w:rPr>
          <w:rFonts w:ascii="宋体" w:hAnsi="宋体" w:eastAsia="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287" w:right="1133" w:bottom="1077" w:left="1366" w:header="851" w:footer="992" w:gutter="0"/>
          <w:cols w:space="720" w:num="1"/>
          <w:docGrid w:type="linesAndChars" w:linePitch="312" w:charSpace="0"/>
        </w:sectPr>
      </w:pPr>
      <w:r>
        <w:rPr>
          <w:rFonts w:ascii="宋体" w:hAnsi="宋体"/>
          <w:sz w:val="24"/>
        </w:rPr>
        <w:t>邮   编：</w:t>
      </w:r>
      <w:r>
        <w:rPr>
          <w:rFonts w:ascii="宋体" w:hAnsi="宋体"/>
          <w:sz w:val="24"/>
          <w:u w:val="single"/>
        </w:rPr>
        <w:t xml:space="preserve">                </w:t>
      </w:r>
      <w:r>
        <w:rPr>
          <w:rFonts w:ascii="宋体" w:hAnsi="宋体"/>
          <w:sz w:val="24"/>
        </w:rPr>
        <w:t>电话：</w:t>
      </w:r>
      <w:r>
        <w:rPr>
          <w:rFonts w:ascii="宋体" w:hAnsi="宋体"/>
          <w:sz w:val="24"/>
          <w:u w:val="single"/>
        </w:rPr>
        <w:t xml:space="preserve">                 </w:t>
      </w:r>
      <w:r>
        <w:rPr>
          <w:rFonts w:ascii="宋体" w:hAnsi="宋体"/>
          <w:sz w:val="24"/>
        </w:rPr>
        <w:t>传真：</w:t>
      </w:r>
      <w:r>
        <w:rPr>
          <w:rFonts w:ascii="宋体" w:hAnsi="宋体"/>
          <w:sz w:val="24"/>
          <w:u w:val="single"/>
        </w:rPr>
        <w:t xml:space="preserve">              </w:t>
      </w:r>
      <w:bookmarkEnd w:id="51"/>
    </w:p>
    <w:p>
      <w:pPr>
        <w:spacing w:line="360" w:lineRule="auto"/>
        <w:rPr>
          <w:color w:val="000000"/>
          <w:sz w:val="24"/>
        </w:rPr>
      </w:pPr>
      <w:bookmarkStart w:id="52" w:name="_Toc398892547"/>
      <w:bookmarkStart w:id="53" w:name="_Toc398892555"/>
      <w:r>
        <w:rPr>
          <w:rFonts w:hint="eastAsia"/>
          <w:color w:val="000000"/>
          <w:sz w:val="24"/>
        </w:rPr>
        <w:t>附件二：</w:t>
      </w:r>
    </w:p>
    <w:p>
      <w:pPr>
        <w:adjustRightInd w:val="0"/>
        <w:snapToGrid w:val="0"/>
        <w:spacing w:line="500" w:lineRule="atLeast"/>
        <w:jc w:val="center"/>
        <w:rPr>
          <w:rFonts w:ascii="宋体" w:hAnsi="宋体"/>
          <w:b/>
          <w:kern w:val="0"/>
          <w:sz w:val="30"/>
          <w:szCs w:val="30"/>
        </w:rPr>
      </w:pPr>
      <w:r>
        <w:rPr>
          <w:rFonts w:ascii="宋体" w:hAnsi="宋体"/>
          <w:b/>
          <w:kern w:val="0"/>
          <w:sz w:val="30"/>
          <w:szCs w:val="30"/>
        </w:rPr>
        <w:t>开标一览表</w:t>
      </w:r>
    </w:p>
    <w:p>
      <w:pPr>
        <w:adjustRightInd w:val="0"/>
        <w:snapToGrid w:val="0"/>
        <w:spacing w:line="500" w:lineRule="atLeast"/>
        <w:jc w:val="center"/>
        <w:rPr>
          <w:rFonts w:ascii="宋体" w:hAnsi="宋体"/>
          <w:b/>
          <w:kern w:val="0"/>
          <w:sz w:val="30"/>
          <w:szCs w:val="30"/>
        </w:rPr>
      </w:pPr>
    </w:p>
    <w:p>
      <w:pPr>
        <w:adjustRightInd w:val="0"/>
        <w:snapToGrid w:val="0"/>
        <w:spacing w:line="500" w:lineRule="atLeast"/>
        <w:rPr>
          <w:sz w:val="24"/>
          <w:u w:val="single"/>
        </w:rPr>
      </w:pPr>
      <w:r>
        <w:rPr>
          <w:sz w:val="24"/>
        </w:rPr>
        <w:t>项目名称：</w:t>
      </w:r>
      <w:r>
        <w:rPr>
          <w:sz w:val="24"/>
          <w:u w:val="single"/>
        </w:rPr>
        <w:t xml:space="preserve">                        </w:t>
      </w:r>
      <w:r>
        <w:rPr>
          <w:sz w:val="24"/>
        </w:rPr>
        <w:t>招标编号：</w:t>
      </w:r>
      <w:r>
        <w:rPr>
          <w:sz w:val="24"/>
          <w:u w:val="single"/>
        </w:rPr>
        <w:t xml:space="preserve">                      </w:t>
      </w:r>
    </w:p>
    <w:p>
      <w:pPr>
        <w:tabs>
          <w:tab w:val="left" w:pos="630"/>
          <w:tab w:val="left" w:pos="1050"/>
          <w:tab w:val="left" w:pos="1470"/>
        </w:tabs>
        <w:spacing w:line="360" w:lineRule="auto"/>
        <w:ind w:firstLine="480" w:firstLineChars="200"/>
        <w:rPr>
          <w:rFonts w:eastAsia="黑体"/>
          <w:sz w:val="24"/>
        </w:rPr>
      </w:pPr>
    </w:p>
    <w:tbl>
      <w:tblPr>
        <w:tblStyle w:val="16"/>
        <w:tblW w:w="0" w:type="auto"/>
        <w:tblInd w:w="108" w:type="dxa"/>
        <w:tblLayout w:type="fixed"/>
        <w:tblCellMar>
          <w:top w:w="0" w:type="dxa"/>
          <w:left w:w="108" w:type="dxa"/>
          <w:bottom w:w="0" w:type="dxa"/>
          <w:right w:w="108" w:type="dxa"/>
        </w:tblCellMar>
      </w:tblPr>
      <w:tblGrid>
        <w:gridCol w:w="710"/>
        <w:gridCol w:w="2976"/>
        <w:gridCol w:w="1134"/>
        <w:gridCol w:w="1417"/>
        <w:gridCol w:w="2552"/>
      </w:tblGrid>
      <w:tr>
        <w:tblPrEx>
          <w:tblCellMar>
            <w:top w:w="0" w:type="dxa"/>
            <w:left w:w="108" w:type="dxa"/>
            <w:bottom w:w="0" w:type="dxa"/>
            <w:right w:w="108" w:type="dxa"/>
          </w:tblCellMar>
        </w:tblPrEx>
        <w:trPr>
          <w:trHeight w:val="812"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29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价格</w:t>
            </w:r>
          </w:p>
          <w:p>
            <w:pPr>
              <w:widowControl/>
              <w:jc w:val="center"/>
              <w:rPr>
                <w:rFonts w:ascii="宋体" w:hAnsi="宋体" w:cs="宋体"/>
                <w:kern w:val="0"/>
                <w:sz w:val="24"/>
              </w:rPr>
            </w:pPr>
            <w:r>
              <w:rPr>
                <w:rFonts w:hint="eastAsia" w:ascii="宋体" w:hAnsi="宋体" w:cs="宋体"/>
                <w:kern w:val="0"/>
                <w:sz w:val="24"/>
              </w:rPr>
              <w:t>（含税）</w:t>
            </w:r>
          </w:p>
        </w:tc>
      </w:tr>
      <w:tr>
        <w:tblPrEx>
          <w:tblCellMar>
            <w:top w:w="0" w:type="dxa"/>
            <w:left w:w="108" w:type="dxa"/>
            <w:bottom w:w="0" w:type="dxa"/>
            <w:right w:w="108" w:type="dxa"/>
          </w:tblCellMar>
        </w:tblPrEx>
        <w:trPr>
          <w:trHeight w:val="582"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1"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1"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8"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3"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3"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sz w:val="24"/>
              </w:rPr>
              <w:t>…</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9" w:hRule="atLeast"/>
        </w:trPr>
        <w:tc>
          <w:tcPr>
            <w:tcW w:w="368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9" w:hRule="atLeast"/>
        </w:trPr>
        <w:tc>
          <w:tcPr>
            <w:tcW w:w="8789"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大写：</w:t>
            </w:r>
          </w:p>
        </w:tc>
      </w:tr>
    </w:tbl>
    <w:p>
      <w:pPr>
        <w:pStyle w:val="3"/>
        <w:tabs>
          <w:tab w:val="left" w:pos="454"/>
          <w:tab w:val="left" w:pos="708"/>
        </w:tabs>
        <w:snapToGrid w:val="0"/>
        <w:spacing w:line="500" w:lineRule="atLeast"/>
        <w:jc w:val="left"/>
      </w:pPr>
    </w:p>
    <w:p>
      <w:pPr>
        <w:adjustRightInd w:val="0"/>
        <w:snapToGrid w:val="0"/>
        <w:spacing w:line="500" w:lineRule="atLeast"/>
        <w:rPr>
          <w:rFonts w:ascii="宋体" w:hAnsi="宋体"/>
          <w:sz w:val="24"/>
        </w:rPr>
      </w:pPr>
      <w:r>
        <w:rPr>
          <w:rFonts w:ascii="宋体" w:hAnsi="宋体"/>
          <w:sz w:val="24"/>
        </w:rPr>
        <w:t>投标方：（盖</w:t>
      </w:r>
      <w:r>
        <w:rPr>
          <w:rFonts w:hint="eastAsia" w:ascii="宋体" w:hAnsi="宋体"/>
          <w:sz w:val="24"/>
        </w:rPr>
        <w:t>公</w:t>
      </w:r>
      <w:r>
        <w:rPr>
          <w:rFonts w:ascii="宋体" w:hAnsi="宋体"/>
          <w:sz w:val="24"/>
        </w:rPr>
        <w:t>章）</w:t>
      </w:r>
    </w:p>
    <w:p>
      <w:pPr>
        <w:adjustRightInd w:val="0"/>
        <w:snapToGrid w:val="0"/>
        <w:spacing w:line="500" w:lineRule="atLeast"/>
        <w:rPr>
          <w:rFonts w:ascii="宋体" w:hAnsi="宋体"/>
          <w:sz w:val="24"/>
        </w:rPr>
      </w:pPr>
      <w:r>
        <w:rPr>
          <w:rFonts w:ascii="宋体" w:hAnsi="宋体"/>
          <w:sz w:val="24"/>
        </w:rPr>
        <w:t>法定代表人或其授权代表：（签字）</w:t>
      </w:r>
    </w:p>
    <w:p>
      <w:pPr>
        <w:adjustRightInd w:val="0"/>
        <w:snapToGrid w:val="0"/>
        <w:spacing w:line="500" w:lineRule="atLeast"/>
        <w:ind w:firstLine="6480" w:firstLineChars="2700"/>
        <w:rPr>
          <w:rFonts w:ascii="宋体" w:hAnsi="宋体"/>
          <w:sz w:val="24"/>
        </w:rPr>
      </w:pPr>
      <w:r>
        <w:rPr>
          <w:rFonts w:ascii="宋体" w:hAnsi="宋体"/>
          <w:sz w:val="24"/>
        </w:rPr>
        <w:t xml:space="preserve">年   月   </w:t>
      </w:r>
      <w:r>
        <w:rPr>
          <w:rFonts w:hint="eastAsia" w:ascii="宋体" w:hAnsi="宋体"/>
          <w:sz w:val="24"/>
        </w:rPr>
        <w:t>日</w:t>
      </w:r>
    </w:p>
    <w:p>
      <w:pPr>
        <w:spacing w:line="360" w:lineRule="auto"/>
        <w:rPr>
          <w:color w:val="000000"/>
          <w:sz w:val="24"/>
        </w:rPr>
      </w:pPr>
    </w:p>
    <w:p>
      <w:pPr>
        <w:ind w:left="454"/>
        <w:rPr>
          <w:rFonts w:cs="宋体"/>
          <w:color w:val="FF0000"/>
          <w:sz w:val="24"/>
        </w:rPr>
      </w:pPr>
    </w:p>
    <w:p>
      <w:pPr>
        <w:ind w:left="454"/>
        <w:rPr>
          <w:rFonts w:cs="宋体"/>
          <w:color w:val="FF0000"/>
          <w:sz w:val="24"/>
        </w:rPr>
      </w:pPr>
    </w:p>
    <w:p>
      <w:pPr>
        <w:ind w:left="454"/>
        <w:rPr>
          <w:rFonts w:cs="宋体"/>
          <w:color w:val="FF0000"/>
          <w:sz w:val="24"/>
        </w:rPr>
      </w:pPr>
    </w:p>
    <w:p>
      <w:pPr>
        <w:ind w:left="454"/>
        <w:rPr>
          <w:rFonts w:cs="宋体"/>
          <w:color w:val="FF0000"/>
          <w:sz w:val="24"/>
        </w:rPr>
      </w:pPr>
    </w:p>
    <w:p>
      <w:pPr>
        <w:ind w:left="454"/>
        <w:rPr>
          <w:rFonts w:cs="宋体"/>
          <w:color w:val="FF0000"/>
          <w:sz w:val="24"/>
        </w:rPr>
      </w:pPr>
    </w:p>
    <w:p>
      <w:pPr>
        <w:ind w:left="454"/>
        <w:rPr>
          <w:rFonts w:cs="宋体"/>
          <w:color w:val="FF0000"/>
          <w:sz w:val="24"/>
        </w:rPr>
      </w:pPr>
    </w:p>
    <w:p>
      <w:pPr>
        <w:ind w:left="454"/>
        <w:rPr>
          <w:rFonts w:cs="宋体"/>
          <w:color w:val="FF0000"/>
          <w:sz w:val="24"/>
        </w:rPr>
      </w:pPr>
    </w:p>
    <w:p>
      <w:pPr>
        <w:ind w:left="454"/>
        <w:rPr>
          <w:rFonts w:cs="宋体"/>
          <w:color w:val="FF0000"/>
          <w:sz w:val="24"/>
        </w:rPr>
      </w:pPr>
    </w:p>
    <w:p>
      <w:pPr>
        <w:ind w:left="454"/>
        <w:rPr>
          <w:rFonts w:cs="宋体"/>
          <w:color w:val="FF0000"/>
          <w:sz w:val="24"/>
        </w:rPr>
      </w:pPr>
    </w:p>
    <w:p>
      <w:pPr>
        <w:ind w:left="454"/>
        <w:rPr>
          <w:rFonts w:cs="宋体"/>
          <w:color w:val="FF0000"/>
          <w:sz w:val="24"/>
        </w:rPr>
      </w:pPr>
    </w:p>
    <w:p>
      <w:pPr>
        <w:ind w:left="454"/>
        <w:rPr>
          <w:rFonts w:cs="宋体"/>
          <w:color w:val="FF0000"/>
          <w:sz w:val="24"/>
        </w:rPr>
      </w:pPr>
    </w:p>
    <w:p>
      <w:pPr>
        <w:rPr>
          <w:rFonts w:cs="宋体"/>
          <w:color w:val="FF0000"/>
          <w:sz w:val="24"/>
        </w:rPr>
      </w:pPr>
    </w:p>
    <w:p>
      <w:pPr>
        <w:rPr>
          <w:rFonts w:ascii="黑体" w:hAnsi="宋体"/>
          <w:sz w:val="28"/>
          <w:szCs w:val="28"/>
        </w:rPr>
      </w:pPr>
      <w:r>
        <w:rPr>
          <w:rFonts w:hint="eastAsia" w:ascii="黑体" w:hAnsi="宋体"/>
          <w:sz w:val="28"/>
          <w:szCs w:val="28"/>
        </w:rPr>
        <w:br w:type="page"/>
      </w:r>
      <w:r>
        <w:rPr>
          <w:rFonts w:hint="eastAsia" w:ascii="黑体" w:hAnsi="宋体"/>
          <w:sz w:val="28"/>
          <w:szCs w:val="28"/>
        </w:rPr>
        <w:t>附件</w:t>
      </w:r>
      <w:bookmarkEnd w:id="52"/>
      <w:r>
        <w:rPr>
          <w:rFonts w:hint="eastAsia" w:ascii="黑体" w:hAnsi="宋体"/>
          <w:sz w:val="28"/>
          <w:szCs w:val="28"/>
        </w:rPr>
        <w:t>三： 投标报价构成表</w:t>
      </w:r>
    </w:p>
    <w:p>
      <w:pPr>
        <w:adjustRightInd w:val="0"/>
        <w:snapToGrid w:val="0"/>
        <w:spacing w:line="500" w:lineRule="atLeast"/>
        <w:jc w:val="center"/>
        <w:rPr>
          <w:rFonts w:ascii="宋体" w:hAnsi="宋体"/>
          <w:b/>
          <w:kern w:val="0"/>
          <w:sz w:val="30"/>
          <w:szCs w:val="30"/>
        </w:rPr>
      </w:pPr>
      <w:bookmarkStart w:id="54" w:name="_Toc9874058"/>
      <w:bookmarkStart w:id="55" w:name="_Toc9874196"/>
      <w:r>
        <w:rPr>
          <w:rFonts w:hint="eastAsia" w:ascii="宋体" w:hAnsi="宋体"/>
          <w:b/>
          <w:kern w:val="0"/>
          <w:sz w:val="30"/>
          <w:szCs w:val="30"/>
        </w:rPr>
        <w:t>分项投标报价总表</w:t>
      </w:r>
    </w:p>
    <w:p>
      <w:pPr>
        <w:adjustRightInd w:val="0"/>
        <w:snapToGrid w:val="0"/>
        <w:spacing w:line="500" w:lineRule="atLeast"/>
        <w:rPr>
          <w:rFonts w:ascii="宋体" w:hAnsi="宋体"/>
          <w:kern w:val="0"/>
          <w:sz w:val="24"/>
        </w:rPr>
      </w:pPr>
    </w:p>
    <w:p>
      <w:pPr>
        <w:adjustRightInd w:val="0"/>
        <w:snapToGrid w:val="0"/>
        <w:spacing w:line="500" w:lineRule="atLeast"/>
        <w:rPr>
          <w:rFonts w:ascii="宋体" w:hAnsi="宋体"/>
          <w:kern w:val="0"/>
          <w:sz w:val="24"/>
        </w:rPr>
      </w:pPr>
      <w:r>
        <w:rPr>
          <w:rFonts w:hint="eastAsia" w:ascii="宋体" w:hAnsi="宋体"/>
          <w:kern w:val="0"/>
          <w:sz w:val="24"/>
        </w:rPr>
        <w:t>项目名称：</w:t>
      </w:r>
      <w:r>
        <w:rPr>
          <w:rFonts w:hint="eastAsia" w:ascii="宋体" w:hAnsi="宋体"/>
          <w:kern w:val="0"/>
          <w:sz w:val="24"/>
          <w:u w:val="single"/>
        </w:rPr>
        <w:t xml:space="preserve">                         </w:t>
      </w:r>
      <w:r>
        <w:rPr>
          <w:rFonts w:hint="eastAsia" w:ascii="宋体" w:hAnsi="宋体"/>
          <w:kern w:val="0"/>
          <w:sz w:val="24"/>
        </w:rPr>
        <w:t xml:space="preserve"> 招标编号：</w:t>
      </w:r>
      <w:r>
        <w:rPr>
          <w:rFonts w:hint="eastAsia" w:ascii="宋体" w:hAnsi="宋体"/>
          <w:kern w:val="0"/>
          <w:sz w:val="24"/>
          <w:u w:val="single"/>
        </w:rPr>
        <w:t xml:space="preserve">                         </w:t>
      </w:r>
    </w:p>
    <w:p>
      <w:pPr>
        <w:pStyle w:val="6"/>
        <w:ind w:firstLine="0"/>
      </w:pPr>
    </w:p>
    <w:p>
      <w:pPr>
        <w:ind w:left="4849"/>
        <w:rPr>
          <w:color w:val="FF0000"/>
          <w:sz w:val="24"/>
        </w:rPr>
      </w:pPr>
    </w:p>
    <w:tbl>
      <w:tblPr>
        <w:tblStyle w:val="16"/>
        <w:tblW w:w="8647" w:type="dxa"/>
        <w:tblInd w:w="108" w:type="dxa"/>
        <w:tblLayout w:type="fixed"/>
        <w:tblCellMar>
          <w:top w:w="0" w:type="dxa"/>
          <w:left w:w="108" w:type="dxa"/>
          <w:bottom w:w="0" w:type="dxa"/>
          <w:right w:w="108" w:type="dxa"/>
        </w:tblCellMar>
      </w:tblPr>
      <w:tblGrid>
        <w:gridCol w:w="710"/>
        <w:gridCol w:w="2976"/>
        <w:gridCol w:w="1134"/>
        <w:gridCol w:w="1417"/>
        <w:gridCol w:w="2410"/>
      </w:tblGrid>
      <w:tr>
        <w:tblPrEx>
          <w:tblCellMar>
            <w:top w:w="0" w:type="dxa"/>
            <w:left w:w="108" w:type="dxa"/>
            <w:bottom w:w="0" w:type="dxa"/>
            <w:right w:w="108" w:type="dxa"/>
          </w:tblCellMar>
        </w:tblPrEx>
        <w:trPr>
          <w:trHeight w:val="812"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29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分项名称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价格</w:t>
            </w:r>
          </w:p>
          <w:p>
            <w:pPr>
              <w:widowControl/>
              <w:jc w:val="center"/>
              <w:rPr>
                <w:rFonts w:ascii="宋体" w:hAnsi="宋体" w:cs="宋体"/>
                <w:kern w:val="0"/>
                <w:sz w:val="24"/>
              </w:rPr>
            </w:pPr>
            <w:r>
              <w:rPr>
                <w:rFonts w:hint="eastAsia" w:ascii="宋体" w:hAnsi="宋体" w:cs="宋体"/>
                <w:kern w:val="0"/>
                <w:sz w:val="24"/>
              </w:rPr>
              <w:t>（含税）</w:t>
            </w:r>
          </w:p>
        </w:tc>
      </w:tr>
      <w:tr>
        <w:tblPrEx>
          <w:tblCellMar>
            <w:top w:w="0" w:type="dxa"/>
            <w:left w:w="108" w:type="dxa"/>
            <w:bottom w:w="0" w:type="dxa"/>
            <w:right w:w="108" w:type="dxa"/>
          </w:tblCellMar>
        </w:tblPrEx>
        <w:trPr>
          <w:trHeight w:val="582"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软件</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1"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培训</w:t>
            </w:r>
            <w:r>
              <w:rPr>
                <w:rFonts w:ascii="宋体" w:hAnsi="宋体" w:cs="宋体"/>
                <w:kern w:val="0"/>
                <w:sz w:val="24"/>
              </w:rPr>
              <w:t>、</w:t>
            </w:r>
            <w:r>
              <w:rPr>
                <w:rFonts w:hint="eastAsia" w:ascii="宋体" w:hAnsi="宋体" w:cs="宋体"/>
                <w:kern w:val="0"/>
                <w:sz w:val="24"/>
              </w:rPr>
              <w:t>实施</w:t>
            </w:r>
            <w:r>
              <w:rPr>
                <w:rFonts w:ascii="宋体" w:hAnsi="宋体" w:cs="宋体"/>
                <w:kern w:val="0"/>
                <w:sz w:val="24"/>
              </w:rPr>
              <w:t>及服务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8"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297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rPr>
            </w:pPr>
            <w:r>
              <w:rPr>
                <w:rFonts w:hint="eastAsia" w:ascii="宋体" w:hAnsi="宋体" w:eastAsia="宋体" w:cs="宋体"/>
                <w:kern w:val="0"/>
                <w:sz w:val="24"/>
              </w:rPr>
              <w:t>服务费</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3"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sz w:val="24"/>
              </w:rPr>
              <w:t>…</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3" w:hRule="atLeast"/>
        </w:trPr>
        <w:tc>
          <w:tcPr>
            <w:tcW w:w="368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9" w:hRule="atLeast"/>
        </w:trPr>
        <w:tc>
          <w:tcPr>
            <w:tcW w:w="8647"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大写：</w:t>
            </w:r>
          </w:p>
        </w:tc>
      </w:tr>
    </w:tbl>
    <w:p>
      <w:pPr>
        <w:ind w:left="454"/>
        <w:rPr>
          <w:rFonts w:cs="宋体"/>
          <w:color w:val="FF0000"/>
          <w:sz w:val="24"/>
        </w:rPr>
      </w:pPr>
    </w:p>
    <w:p>
      <w:pPr>
        <w:ind w:left="454"/>
        <w:rPr>
          <w:rFonts w:cs="宋体"/>
          <w:color w:val="000000"/>
          <w:sz w:val="24"/>
        </w:rPr>
      </w:pPr>
    </w:p>
    <w:p>
      <w:pPr>
        <w:ind w:left="454"/>
        <w:rPr>
          <w:rFonts w:cs="宋体"/>
          <w:color w:val="000000"/>
          <w:sz w:val="24"/>
        </w:rPr>
      </w:pPr>
    </w:p>
    <w:p>
      <w:pPr>
        <w:ind w:left="454"/>
        <w:rPr>
          <w:rFonts w:cs="宋体"/>
          <w:color w:val="000000"/>
          <w:sz w:val="24"/>
        </w:rPr>
      </w:pPr>
    </w:p>
    <w:p>
      <w:pPr>
        <w:ind w:left="454"/>
        <w:rPr>
          <w:color w:val="000000"/>
          <w:sz w:val="24"/>
        </w:rPr>
      </w:pPr>
      <w:r>
        <w:rPr>
          <w:rFonts w:hint="eastAsia" w:cs="宋体"/>
          <w:color w:val="000000"/>
          <w:sz w:val="24"/>
        </w:rPr>
        <w:t>投标单位（盖章）：</w:t>
      </w:r>
    </w:p>
    <w:p>
      <w:pPr>
        <w:ind w:left="454"/>
        <w:rPr>
          <w:color w:val="000000"/>
          <w:sz w:val="24"/>
        </w:rPr>
      </w:pPr>
    </w:p>
    <w:p>
      <w:pPr>
        <w:ind w:left="454"/>
        <w:rPr>
          <w:rFonts w:cs="宋体"/>
          <w:color w:val="000000"/>
          <w:sz w:val="24"/>
        </w:rPr>
      </w:pPr>
      <w:r>
        <w:rPr>
          <w:rFonts w:hint="eastAsia" w:cs="宋体"/>
          <w:color w:val="000000"/>
          <w:sz w:val="24"/>
        </w:rPr>
        <w:t>授权代表（签字）：                                 年</w:t>
      </w:r>
      <w:r>
        <w:rPr>
          <w:color w:val="000000"/>
          <w:sz w:val="24"/>
        </w:rPr>
        <w:t xml:space="preserve">   </w:t>
      </w:r>
      <w:r>
        <w:rPr>
          <w:rFonts w:hint="eastAsia" w:cs="宋体"/>
          <w:color w:val="000000"/>
          <w:sz w:val="24"/>
        </w:rPr>
        <w:t>月</w:t>
      </w:r>
      <w:r>
        <w:rPr>
          <w:color w:val="000000"/>
          <w:sz w:val="24"/>
        </w:rPr>
        <w:t xml:space="preserve">   </w:t>
      </w:r>
      <w:r>
        <w:rPr>
          <w:rFonts w:hint="eastAsia" w:cs="宋体"/>
          <w:color w:val="000000"/>
          <w:sz w:val="24"/>
        </w:rPr>
        <w:t>日</w:t>
      </w:r>
    </w:p>
    <w:p>
      <w:pPr>
        <w:adjustRightInd w:val="0"/>
        <w:snapToGrid w:val="0"/>
        <w:spacing w:line="500" w:lineRule="atLeast"/>
        <w:jc w:val="center"/>
        <w:rPr>
          <w:rFonts w:ascii="宋体" w:hAnsi="宋体"/>
          <w:b/>
          <w:kern w:val="0"/>
          <w:sz w:val="30"/>
          <w:szCs w:val="30"/>
        </w:rPr>
      </w:pPr>
    </w:p>
    <w:p>
      <w:pPr>
        <w:adjustRightInd w:val="0"/>
        <w:snapToGrid w:val="0"/>
        <w:spacing w:line="500" w:lineRule="atLeast"/>
        <w:jc w:val="center"/>
        <w:rPr>
          <w:rFonts w:ascii="宋体" w:hAnsi="宋体"/>
          <w:b/>
          <w:kern w:val="0"/>
          <w:sz w:val="30"/>
          <w:szCs w:val="30"/>
        </w:rPr>
      </w:pPr>
    </w:p>
    <w:p>
      <w:pPr>
        <w:adjustRightInd w:val="0"/>
        <w:snapToGrid w:val="0"/>
        <w:spacing w:line="500" w:lineRule="atLeast"/>
        <w:jc w:val="center"/>
        <w:rPr>
          <w:rFonts w:ascii="宋体" w:hAnsi="宋体"/>
          <w:b/>
          <w:kern w:val="0"/>
          <w:sz w:val="30"/>
          <w:szCs w:val="30"/>
        </w:rPr>
      </w:pPr>
    </w:p>
    <w:p>
      <w:pPr>
        <w:adjustRightInd w:val="0"/>
        <w:snapToGrid w:val="0"/>
        <w:spacing w:line="500" w:lineRule="atLeast"/>
        <w:jc w:val="center"/>
        <w:rPr>
          <w:rFonts w:ascii="宋体" w:hAnsi="宋体"/>
          <w:b/>
          <w:kern w:val="0"/>
          <w:sz w:val="30"/>
          <w:szCs w:val="30"/>
        </w:rPr>
      </w:pPr>
      <w:r>
        <w:rPr>
          <w:rFonts w:hint="eastAsia" w:ascii="宋体" w:hAnsi="宋体"/>
          <w:b/>
          <w:kern w:val="0"/>
          <w:sz w:val="30"/>
          <w:szCs w:val="30"/>
        </w:rPr>
        <w:br w:type="page"/>
      </w:r>
      <w:r>
        <w:rPr>
          <w:rFonts w:hint="eastAsia" w:ascii="宋体" w:hAnsi="宋体"/>
          <w:b/>
          <w:kern w:val="0"/>
          <w:sz w:val="30"/>
          <w:szCs w:val="30"/>
        </w:rPr>
        <w:t>分项投标报价明细表</w:t>
      </w:r>
      <w:bookmarkEnd w:id="54"/>
      <w:bookmarkEnd w:id="55"/>
      <w:r>
        <w:rPr>
          <w:rFonts w:hint="eastAsia" w:ascii="宋体" w:hAnsi="宋体"/>
          <w:spacing w:val="-10"/>
          <w:sz w:val="24"/>
        </w:rPr>
        <w:t>（</w:t>
      </w:r>
      <w:r>
        <w:rPr>
          <w:rFonts w:hint="eastAsia" w:ascii="宋体" w:hAnsi="宋体"/>
          <w:b/>
          <w:spacing w:val="-10"/>
          <w:sz w:val="24"/>
        </w:rPr>
        <w:t>列入投标总价中</w:t>
      </w:r>
      <w:r>
        <w:rPr>
          <w:rFonts w:hint="eastAsia" w:ascii="宋体" w:hAnsi="宋体"/>
          <w:spacing w:val="-10"/>
          <w:sz w:val="24"/>
        </w:rPr>
        <w:t>）</w:t>
      </w:r>
    </w:p>
    <w:p>
      <w:pPr>
        <w:adjustRightInd w:val="0"/>
        <w:snapToGrid w:val="0"/>
        <w:spacing w:line="500" w:lineRule="atLeast"/>
        <w:rPr>
          <w:rFonts w:ascii="宋体" w:hAnsi="宋体"/>
          <w:kern w:val="0"/>
          <w:sz w:val="24"/>
        </w:rPr>
      </w:pPr>
    </w:p>
    <w:p>
      <w:pPr>
        <w:adjustRightInd w:val="0"/>
        <w:snapToGrid w:val="0"/>
        <w:spacing w:line="500" w:lineRule="atLeast"/>
        <w:rPr>
          <w:rFonts w:ascii="宋体" w:hAnsi="宋体"/>
          <w:kern w:val="0"/>
          <w:sz w:val="24"/>
        </w:rPr>
      </w:pPr>
      <w:r>
        <w:rPr>
          <w:rFonts w:hint="eastAsia" w:ascii="宋体" w:hAnsi="宋体"/>
          <w:kern w:val="0"/>
          <w:sz w:val="24"/>
        </w:rPr>
        <w:t>项目名称：</w:t>
      </w:r>
      <w:r>
        <w:rPr>
          <w:rFonts w:hint="eastAsia" w:ascii="宋体" w:hAnsi="宋体"/>
          <w:kern w:val="0"/>
          <w:sz w:val="24"/>
          <w:u w:val="single"/>
        </w:rPr>
        <w:t xml:space="preserve">                         </w:t>
      </w:r>
      <w:r>
        <w:rPr>
          <w:rFonts w:hint="eastAsia" w:ascii="宋体" w:hAnsi="宋体"/>
          <w:kern w:val="0"/>
          <w:sz w:val="24"/>
        </w:rPr>
        <w:t xml:space="preserve"> 招标编号：</w:t>
      </w:r>
      <w:r>
        <w:rPr>
          <w:rFonts w:hint="eastAsia" w:ascii="宋体" w:hAnsi="宋体"/>
          <w:kern w:val="0"/>
          <w:sz w:val="24"/>
          <w:u w:val="single"/>
        </w:rPr>
        <w:t xml:space="preserve">                         </w:t>
      </w:r>
    </w:p>
    <w:p>
      <w:pPr>
        <w:pStyle w:val="6"/>
        <w:ind w:firstLine="0"/>
      </w:pPr>
    </w:p>
    <w:p>
      <w:pPr>
        <w:pStyle w:val="6"/>
        <w:ind w:firstLine="0"/>
      </w:pPr>
      <w:r>
        <w:rPr>
          <w:rFonts w:hint="eastAsia"/>
        </w:rPr>
        <w:t>分</w:t>
      </w:r>
      <w:r>
        <w:t>项名称</w:t>
      </w:r>
      <w:r>
        <w:rPr>
          <w:rFonts w:hint="eastAsia" w:hAnsi="宋体"/>
        </w:rPr>
        <w:t>：</w:t>
      </w:r>
      <w:r>
        <w:rPr>
          <w:rFonts w:hint="eastAsia" w:hAnsi="宋体"/>
          <w:u w:val="single"/>
        </w:rPr>
        <w:t xml:space="preserve"> </w:t>
      </w:r>
      <w:r>
        <w:rPr>
          <w:rFonts w:hint="eastAsia" w:hAnsi="宋体" w:eastAsia="宋体"/>
          <w:u w:val="single"/>
        </w:rPr>
        <w:t>软件产品</w:t>
      </w:r>
      <w:r>
        <w:rPr>
          <w:rFonts w:hint="eastAsia" w:hAnsi="宋体"/>
          <w:u w:val="single"/>
        </w:rPr>
        <w:t xml:space="preserve">  </w:t>
      </w:r>
    </w:p>
    <w:p>
      <w:pPr>
        <w:ind w:left="4849"/>
        <w:rPr>
          <w:color w:val="FF0000"/>
          <w:sz w:val="24"/>
        </w:rPr>
      </w:pPr>
    </w:p>
    <w:tbl>
      <w:tblPr>
        <w:tblStyle w:val="16"/>
        <w:tblW w:w="0" w:type="auto"/>
        <w:tblInd w:w="108" w:type="dxa"/>
        <w:tblLayout w:type="fixed"/>
        <w:tblCellMar>
          <w:top w:w="0" w:type="dxa"/>
          <w:left w:w="108" w:type="dxa"/>
          <w:bottom w:w="0" w:type="dxa"/>
          <w:right w:w="108" w:type="dxa"/>
        </w:tblCellMar>
      </w:tblPr>
      <w:tblGrid>
        <w:gridCol w:w="710"/>
        <w:gridCol w:w="2976"/>
        <w:gridCol w:w="1134"/>
        <w:gridCol w:w="1417"/>
        <w:gridCol w:w="2410"/>
      </w:tblGrid>
      <w:tr>
        <w:trPr>
          <w:trHeight w:val="812"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29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模块名称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价格</w:t>
            </w:r>
          </w:p>
          <w:p>
            <w:pPr>
              <w:widowControl/>
              <w:jc w:val="center"/>
              <w:rPr>
                <w:rFonts w:ascii="宋体" w:hAnsi="宋体" w:cs="宋体"/>
                <w:kern w:val="0"/>
                <w:sz w:val="24"/>
              </w:rPr>
            </w:pPr>
            <w:r>
              <w:rPr>
                <w:rFonts w:hint="eastAsia" w:ascii="宋体" w:hAnsi="宋体" w:cs="宋体"/>
                <w:kern w:val="0"/>
                <w:sz w:val="24"/>
              </w:rPr>
              <w:t>（含税）</w:t>
            </w:r>
          </w:p>
        </w:tc>
      </w:tr>
      <w:tr>
        <w:tblPrEx>
          <w:tblCellMar>
            <w:top w:w="0" w:type="dxa"/>
            <w:left w:w="108" w:type="dxa"/>
            <w:bottom w:w="0" w:type="dxa"/>
            <w:right w:w="108" w:type="dxa"/>
          </w:tblCellMar>
        </w:tblPrEx>
        <w:trPr>
          <w:trHeight w:val="582"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1"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1"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8"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3"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3"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sz w:val="24"/>
              </w:rPr>
              <w:t>…</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9" w:hRule="atLeast"/>
        </w:trPr>
        <w:tc>
          <w:tcPr>
            <w:tcW w:w="368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9" w:hRule="atLeast"/>
        </w:trPr>
        <w:tc>
          <w:tcPr>
            <w:tcW w:w="8647"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大写：</w:t>
            </w:r>
          </w:p>
        </w:tc>
      </w:tr>
    </w:tbl>
    <w:p>
      <w:pPr>
        <w:ind w:left="454"/>
        <w:rPr>
          <w:rFonts w:cs="宋体"/>
          <w:color w:val="FF0000"/>
          <w:sz w:val="24"/>
        </w:rPr>
      </w:pPr>
    </w:p>
    <w:p>
      <w:pPr>
        <w:ind w:left="454"/>
        <w:rPr>
          <w:color w:val="000000"/>
          <w:sz w:val="24"/>
        </w:rPr>
      </w:pPr>
      <w:r>
        <w:rPr>
          <w:rFonts w:hint="eastAsia" w:cs="宋体"/>
          <w:color w:val="000000"/>
          <w:sz w:val="24"/>
        </w:rPr>
        <w:t>投标单位（盖章）：</w:t>
      </w:r>
    </w:p>
    <w:p>
      <w:pPr>
        <w:ind w:left="454"/>
        <w:rPr>
          <w:color w:val="000000"/>
          <w:sz w:val="24"/>
        </w:rPr>
      </w:pPr>
    </w:p>
    <w:p>
      <w:pPr>
        <w:ind w:left="454"/>
        <w:rPr>
          <w:rFonts w:cs="宋体"/>
          <w:color w:val="000000"/>
          <w:sz w:val="24"/>
        </w:rPr>
      </w:pPr>
      <w:r>
        <w:rPr>
          <w:rFonts w:hint="eastAsia" w:cs="宋体"/>
          <w:color w:val="000000"/>
          <w:sz w:val="24"/>
        </w:rPr>
        <w:t>授权代表（签字）：                                 年</w:t>
      </w:r>
      <w:r>
        <w:rPr>
          <w:color w:val="000000"/>
          <w:sz w:val="24"/>
        </w:rPr>
        <w:t xml:space="preserve">   </w:t>
      </w:r>
      <w:r>
        <w:rPr>
          <w:rFonts w:hint="eastAsia" w:cs="宋体"/>
          <w:color w:val="000000"/>
          <w:sz w:val="24"/>
        </w:rPr>
        <w:t>月</w:t>
      </w:r>
      <w:r>
        <w:rPr>
          <w:color w:val="000000"/>
          <w:sz w:val="24"/>
        </w:rPr>
        <w:t xml:space="preserve">   </w:t>
      </w:r>
      <w:r>
        <w:rPr>
          <w:rFonts w:hint="eastAsia" w:cs="宋体"/>
          <w:color w:val="000000"/>
          <w:sz w:val="24"/>
        </w:rPr>
        <w:t>日</w:t>
      </w:r>
    </w:p>
    <w:p>
      <w:pPr>
        <w:ind w:left="454"/>
        <w:rPr>
          <w:rFonts w:cs="宋体"/>
          <w:color w:val="FF0000"/>
          <w:sz w:val="24"/>
        </w:rPr>
      </w:pPr>
    </w:p>
    <w:p>
      <w:pPr>
        <w:ind w:left="454"/>
        <w:rPr>
          <w:color w:val="FF0000"/>
          <w:sz w:val="24"/>
        </w:rPr>
      </w:pPr>
    </w:p>
    <w:p/>
    <w:p/>
    <w:p/>
    <w:p/>
    <w:p>
      <w:pPr>
        <w:adjustRightInd w:val="0"/>
        <w:snapToGrid w:val="0"/>
        <w:spacing w:line="500" w:lineRule="atLeast"/>
        <w:jc w:val="center"/>
        <w:rPr>
          <w:rFonts w:ascii="宋体" w:hAnsi="宋体"/>
          <w:b/>
          <w:kern w:val="0"/>
          <w:sz w:val="30"/>
          <w:szCs w:val="30"/>
        </w:rPr>
      </w:pPr>
      <w:r>
        <w:rPr>
          <w:rFonts w:hint="eastAsia" w:ascii="宋体" w:hAnsi="宋体"/>
          <w:b/>
          <w:kern w:val="0"/>
          <w:sz w:val="30"/>
          <w:szCs w:val="30"/>
        </w:rPr>
        <w:br w:type="page"/>
      </w:r>
      <w:r>
        <w:rPr>
          <w:rFonts w:hint="eastAsia" w:ascii="宋体" w:hAnsi="宋体"/>
          <w:b/>
          <w:kern w:val="0"/>
          <w:sz w:val="30"/>
          <w:szCs w:val="30"/>
        </w:rPr>
        <w:t>分项投标报价明细表</w:t>
      </w:r>
      <w:r>
        <w:rPr>
          <w:rFonts w:hint="eastAsia" w:ascii="宋体" w:hAnsi="宋体"/>
          <w:spacing w:val="-10"/>
          <w:sz w:val="24"/>
        </w:rPr>
        <w:t>（</w:t>
      </w:r>
      <w:r>
        <w:rPr>
          <w:rFonts w:hint="eastAsia" w:ascii="宋体" w:hAnsi="宋体"/>
          <w:b/>
          <w:spacing w:val="-10"/>
          <w:sz w:val="24"/>
        </w:rPr>
        <w:t>列入投标总价中</w:t>
      </w:r>
      <w:r>
        <w:rPr>
          <w:rFonts w:hint="eastAsia" w:ascii="宋体" w:hAnsi="宋体"/>
          <w:spacing w:val="-10"/>
          <w:sz w:val="24"/>
        </w:rPr>
        <w:t>）</w:t>
      </w:r>
    </w:p>
    <w:p>
      <w:pPr>
        <w:adjustRightInd w:val="0"/>
        <w:snapToGrid w:val="0"/>
        <w:spacing w:line="500" w:lineRule="atLeast"/>
        <w:rPr>
          <w:rFonts w:ascii="宋体" w:hAnsi="宋体"/>
          <w:kern w:val="0"/>
          <w:sz w:val="24"/>
        </w:rPr>
      </w:pPr>
    </w:p>
    <w:p>
      <w:pPr>
        <w:adjustRightInd w:val="0"/>
        <w:snapToGrid w:val="0"/>
        <w:spacing w:line="500" w:lineRule="atLeast"/>
        <w:rPr>
          <w:rFonts w:ascii="宋体" w:hAnsi="宋体"/>
          <w:kern w:val="0"/>
          <w:sz w:val="24"/>
        </w:rPr>
      </w:pPr>
      <w:r>
        <w:rPr>
          <w:rFonts w:hint="eastAsia" w:ascii="宋体" w:hAnsi="宋体"/>
          <w:kern w:val="0"/>
          <w:sz w:val="24"/>
        </w:rPr>
        <w:t>项目名称：</w:t>
      </w:r>
      <w:r>
        <w:rPr>
          <w:rFonts w:hint="eastAsia" w:ascii="宋体" w:hAnsi="宋体"/>
          <w:kern w:val="0"/>
          <w:sz w:val="24"/>
          <w:u w:val="single"/>
        </w:rPr>
        <w:t xml:space="preserve">                         </w:t>
      </w:r>
      <w:r>
        <w:rPr>
          <w:rFonts w:hint="eastAsia" w:ascii="宋体" w:hAnsi="宋体"/>
          <w:kern w:val="0"/>
          <w:sz w:val="24"/>
        </w:rPr>
        <w:t xml:space="preserve"> 招标编号：</w:t>
      </w:r>
      <w:r>
        <w:rPr>
          <w:rFonts w:hint="eastAsia" w:ascii="宋体" w:hAnsi="宋体"/>
          <w:kern w:val="0"/>
          <w:sz w:val="24"/>
          <w:u w:val="single"/>
        </w:rPr>
        <w:t xml:space="preserve">                         </w:t>
      </w:r>
    </w:p>
    <w:p>
      <w:pPr>
        <w:pStyle w:val="6"/>
        <w:ind w:firstLine="0"/>
      </w:pPr>
    </w:p>
    <w:p>
      <w:pPr>
        <w:pStyle w:val="6"/>
        <w:ind w:firstLine="0"/>
      </w:pPr>
      <w:r>
        <w:rPr>
          <w:rFonts w:hint="eastAsia"/>
        </w:rPr>
        <w:t>分</w:t>
      </w:r>
      <w:r>
        <w:t>项名称</w:t>
      </w:r>
      <w:r>
        <w:rPr>
          <w:rFonts w:hint="eastAsia" w:hAnsi="宋体"/>
        </w:rPr>
        <w:t>：</w:t>
      </w:r>
      <w:r>
        <w:rPr>
          <w:rFonts w:hint="eastAsia" w:hAnsi="宋体"/>
          <w:u w:val="single"/>
        </w:rPr>
        <w:t>实施</w:t>
      </w:r>
      <w:r>
        <w:rPr>
          <w:rFonts w:hAnsi="宋体"/>
          <w:u w:val="single"/>
        </w:rPr>
        <w:t>及服务</w:t>
      </w:r>
      <w:r>
        <w:rPr>
          <w:rFonts w:hint="eastAsia" w:hAnsi="宋体"/>
          <w:u w:val="single"/>
        </w:rPr>
        <w:t xml:space="preserve">   </w:t>
      </w:r>
    </w:p>
    <w:p>
      <w:pPr>
        <w:ind w:left="4849"/>
        <w:rPr>
          <w:color w:val="FF0000"/>
          <w:sz w:val="24"/>
        </w:rPr>
      </w:pPr>
    </w:p>
    <w:tbl>
      <w:tblPr>
        <w:tblStyle w:val="16"/>
        <w:tblW w:w="0" w:type="auto"/>
        <w:tblInd w:w="108" w:type="dxa"/>
        <w:tblLayout w:type="fixed"/>
        <w:tblCellMar>
          <w:top w:w="0" w:type="dxa"/>
          <w:left w:w="108" w:type="dxa"/>
          <w:bottom w:w="0" w:type="dxa"/>
          <w:right w:w="108" w:type="dxa"/>
        </w:tblCellMar>
      </w:tblPr>
      <w:tblGrid>
        <w:gridCol w:w="710"/>
        <w:gridCol w:w="2976"/>
        <w:gridCol w:w="1701"/>
        <w:gridCol w:w="850"/>
        <w:gridCol w:w="2410"/>
      </w:tblGrid>
      <w:tr>
        <w:tblPrEx>
          <w:tblCellMar>
            <w:top w:w="0" w:type="dxa"/>
            <w:left w:w="108" w:type="dxa"/>
            <w:bottom w:w="0" w:type="dxa"/>
            <w:right w:w="108" w:type="dxa"/>
          </w:tblCellMar>
        </w:tblPrEx>
        <w:trPr>
          <w:trHeight w:val="812"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29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hAnsi="宋体"/>
              </w:rPr>
              <w:t>项目名称</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价格</w:t>
            </w:r>
          </w:p>
          <w:p>
            <w:pPr>
              <w:widowControl/>
              <w:jc w:val="center"/>
              <w:rPr>
                <w:rFonts w:ascii="宋体" w:hAnsi="宋体" w:cs="宋体"/>
                <w:kern w:val="0"/>
                <w:sz w:val="24"/>
              </w:rPr>
            </w:pPr>
            <w:r>
              <w:rPr>
                <w:rFonts w:hint="eastAsia" w:ascii="宋体" w:hAnsi="宋体" w:cs="宋体"/>
                <w:kern w:val="0"/>
                <w:sz w:val="24"/>
              </w:rPr>
              <w:t>（含税）</w:t>
            </w:r>
          </w:p>
        </w:tc>
      </w:tr>
      <w:tr>
        <w:tblPrEx>
          <w:tblCellMar>
            <w:top w:w="0" w:type="dxa"/>
            <w:left w:w="108" w:type="dxa"/>
            <w:bottom w:w="0" w:type="dxa"/>
            <w:right w:w="108" w:type="dxa"/>
          </w:tblCellMar>
        </w:tblPrEx>
        <w:trPr>
          <w:trHeight w:val="582"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1"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1"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8"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3"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3"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sz w:val="24"/>
              </w:rPr>
              <w:t>…</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9" w:hRule="atLeast"/>
        </w:trPr>
        <w:tc>
          <w:tcPr>
            <w:tcW w:w="368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9" w:hRule="atLeast"/>
        </w:trPr>
        <w:tc>
          <w:tcPr>
            <w:tcW w:w="8647"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大写：</w:t>
            </w:r>
          </w:p>
        </w:tc>
      </w:tr>
    </w:tbl>
    <w:p>
      <w:pPr>
        <w:ind w:left="454"/>
        <w:rPr>
          <w:rFonts w:cs="宋体"/>
          <w:color w:val="FF0000"/>
          <w:sz w:val="24"/>
        </w:rPr>
      </w:pPr>
    </w:p>
    <w:p>
      <w:pPr>
        <w:ind w:left="454"/>
        <w:rPr>
          <w:rFonts w:cs="宋体"/>
          <w:color w:val="000000"/>
          <w:sz w:val="24"/>
        </w:rPr>
      </w:pPr>
    </w:p>
    <w:p>
      <w:pPr>
        <w:ind w:left="454"/>
        <w:rPr>
          <w:rFonts w:cs="宋体"/>
          <w:color w:val="000000"/>
          <w:sz w:val="24"/>
        </w:rPr>
      </w:pPr>
    </w:p>
    <w:p>
      <w:pPr>
        <w:ind w:left="454"/>
        <w:rPr>
          <w:rFonts w:cs="宋体"/>
          <w:color w:val="000000"/>
          <w:sz w:val="24"/>
        </w:rPr>
      </w:pPr>
    </w:p>
    <w:p>
      <w:pPr>
        <w:ind w:left="454"/>
        <w:rPr>
          <w:color w:val="000000"/>
          <w:sz w:val="24"/>
        </w:rPr>
      </w:pPr>
      <w:r>
        <w:rPr>
          <w:rFonts w:hint="eastAsia" w:cs="宋体"/>
          <w:color w:val="000000"/>
          <w:sz w:val="24"/>
        </w:rPr>
        <w:t>投标单位（盖章）：</w:t>
      </w:r>
    </w:p>
    <w:p>
      <w:pPr>
        <w:ind w:left="454"/>
        <w:rPr>
          <w:color w:val="000000"/>
          <w:sz w:val="24"/>
        </w:rPr>
      </w:pPr>
    </w:p>
    <w:p>
      <w:pPr>
        <w:ind w:left="454"/>
        <w:rPr>
          <w:rFonts w:cs="宋体"/>
          <w:color w:val="000000"/>
          <w:sz w:val="24"/>
        </w:rPr>
      </w:pPr>
      <w:r>
        <w:rPr>
          <w:rFonts w:hint="eastAsia" w:cs="宋体"/>
          <w:color w:val="000000"/>
          <w:sz w:val="24"/>
        </w:rPr>
        <w:t>授权代表（签字）：                                 年</w:t>
      </w:r>
      <w:r>
        <w:rPr>
          <w:color w:val="000000"/>
          <w:sz w:val="24"/>
        </w:rPr>
        <w:t xml:space="preserve">   </w:t>
      </w:r>
      <w:r>
        <w:rPr>
          <w:rFonts w:hint="eastAsia" w:cs="宋体"/>
          <w:color w:val="000000"/>
          <w:sz w:val="24"/>
        </w:rPr>
        <w:t>月</w:t>
      </w:r>
      <w:r>
        <w:rPr>
          <w:color w:val="000000"/>
          <w:sz w:val="24"/>
        </w:rPr>
        <w:t xml:space="preserve">   </w:t>
      </w:r>
      <w:r>
        <w:rPr>
          <w:rFonts w:hint="eastAsia" w:cs="宋体"/>
          <w:color w:val="000000"/>
          <w:sz w:val="24"/>
        </w:rPr>
        <w:t>日</w:t>
      </w:r>
    </w:p>
    <w:p>
      <w:pPr>
        <w:ind w:left="454"/>
        <w:rPr>
          <w:rFonts w:cs="宋体"/>
          <w:color w:val="FF0000"/>
          <w:sz w:val="24"/>
        </w:rPr>
      </w:pPr>
    </w:p>
    <w:p/>
    <w:p/>
    <w:p/>
    <w:p/>
    <w:p/>
    <w:p/>
    <w:p/>
    <w:p>
      <w:pPr>
        <w:adjustRightInd w:val="0"/>
        <w:snapToGrid w:val="0"/>
        <w:spacing w:line="500" w:lineRule="atLeast"/>
        <w:jc w:val="center"/>
        <w:rPr>
          <w:rFonts w:ascii="宋体" w:hAnsi="宋体"/>
          <w:b/>
          <w:kern w:val="0"/>
          <w:sz w:val="30"/>
          <w:szCs w:val="30"/>
        </w:rPr>
      </w:pPr>
      <w:r>
        <w:rPr>
          <w:rFonts w:hint="eastAsia" w:ascii="宋体" w:hAnsi="宋体"/>
          <w:b/>
          <w:kern w:val="0"/>
          <w:sz w:val="30"/>
          <w:szCs w:val="30"/>
        </w:rPr>
        <w:br w:type="page"/>
      </w:r>
      <w:r>
        <w:rPr>
          <w:rFonts w:hint="eastAsia" w:ascii="宋体" w:hAnsi="宋体"/>
          <w:b/>
          <w:kern w:val="0"/>
          <w:sz w:val="30"/>
          <w:szCs w:val="30"/>
        </w:rPr>
        <w:t>分项投标报价明细表</w:t>
      </w:r>
    </w:p>
    <w:p>
      <w:pPr>
        <w:adjustRightInd w:val="0"/>
        <w:snapToGrid w:val="0"/>
        <w:spacing w:line="500" w:lineRule="atLeast"/>
        <w:rPr>
          <w:rFonts w:ascii="宋体" w:hAnsi="宋体"/>
          <w:kern w:val="0"/>
          <w:sz w:val="24"/>
        </w:rPr>
      </w:pPr>
    </w:p>
    <w:p>
      <w:pPr>
        <w:adjustRightInd w:val="0"/>
        <w:snapToGrid w:val="0"/>
        <w:spacing w:line="500" w:lineRule="atLeast"/>
        <w:rPr>
          <w:rFonts w:ascii="宋体" w:hAnsi="宋体"/>
          <w:kern w:val="0"/>
          <w:sz w:val="24"/>
        </w:rPr>
      </w:pPr>
      <w:r>
        <w:rPr>
          <w:rFonts w:hint="eastAsia" w:ascii="宋体" w:hAnsi="宋体"/>
          <w:kern w:val="0"/>
          <w:sz w:val="24"/>
        </w:rPr>
        <w:t>项目名称：</w:t>
      </w:r>
      <w:r>
        <w:rPr>
          <w:rFonts w:hint="eastAsia" w:ascii="宋体" w:hAnsi="宋体"/>
          <w:kern w:val="0"/>
          <w:sz w:val="24"/>
          <w:u w:val="single"/>
        </w:rPr>
        <w:t xml:space="preserve">                         </w:t>
      </w:r>
      <w:r>
        <w:rPr>
          <w:rFonts w:hint="eastAsia" w:ascii="宋体" w:hAnsi="宋体"/>
          <w:kern w:val="0"/>
          <w:sz w:val="24"/>
        </w:rPr>
        <w:t xml:space="preserve"> 招标编号：</w:t>
      </w:r>
      <w:r>
        <w:rPr>
          <w:rFonts w:hint="eastAsia" w:ascii="宋体" w:hAnsi="宋体"/>
          <w:kern w:val="0"/>
          <w:sz w:val="24"/>
          <w:u w:val="single"/>
        </w:rPr>
        <w:t xml:space="preserve">                         </w:t>
      </w:r>
    </w:p>
    <w:p>
      <w:pPr>
        <w:pStyle w:val="6"/>
        <w:ind w:firstLine="0"/>
      </w:pPr>
    </w:p>
    <w:p>
      <w:pPr>
        <w:pStyle w:val="6"/>
        <w:ind w:firstLine="0"/>
      </w:pPr>
      <w:r>
        <w:rPr>
          <w:rFonts w:hint="eastAsia"/>
        </w:rPr>
        <w:t>分</w:t>
      </w:r>
      <w:r>
        <w:t>项名称</w:t>
      </w:r>
      <w:r>
        <w:rPr>
          <w:rFonts w:hint="eastAsia" w:hAnsi="宋体"/>
        </w:rPr>
        <w:t>：</w:t>
      </w:r>
      <w:r>
        <w:rPr>
          <w:rFonts w:hint="eastAsia" w:hAnsi="宋体"/>
          <w:u w:val="single"/>
        </w:rPr>
        <w:t xml:space="preserve"> 年服务费   </w:t>
      </w:r>
    </w:p>
    <w:p>
      <w:pPr>
        <w:ind w:left="4849"/>
        <w:rPr>
          <w:color w:val="FF0000"/>
          <w:sz w:val="24"/>
        </w:rPr>
      </w:pPr>
    </w:p>
    <w:tbl>
      <w:tblPr>
        <w:tblStyle w:val="16"/>
        <w:tblW w:w="0" w:type="auto"/>
        <w:tblInd w:w="108" w:type="dxa"/>
        <w:tblLayout w:type="fixed"/>
        <w:tblCellMar>
          <w:top w:w="0" w:type="dxa"/>
          <w:left w:w="108" w:type="dxa"/>
          <w:bottom w:w="0" w:type="dxa"/>
          <w:right w:w="108" w:type="dxa"/>
        </w:tblCellMar>
      </w:tblPr>
      <w:tblGrid>
        <w:gridCol w:w="710"/>
        <w:gridCol w:w="2976"/>
        <w:gridCol w:w="1701"/>
        <w:gridCol w:w="850"/>
        <w:gridCol w:w="2410"/>
      </w:tblGrid>
      <w:tr>
        <w:tblPrEx>
          <w:tblCellMar>
            <w:top w:w="0" w:type="dxa"/>
            <w:left w:w="108" w:type="dxa"/>
            <w:bottom w:w="0" w:type="dxa"/>
            <w:right w:w="108" w:type="dxa"/>
          </w:tblCellMar>
        </w:tblPrEx>
        <w:trPr>
          <w:trHeight w:val="812"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29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hAnsi="宋体"/>
              </w:rPr>
              <w:t>项目名称</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数量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单位</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价格</w:t>
            </w:r>
          </w:p>
          <w:p>
            <w:pPr>
              <w:widowControl/>
              <w:jc w:val="center"/>
              <w:rPr>
                <w:rFonts w:ascii="宋体" w:hAnsi="宋体" w:cs="宋体"/>
                <w:kern w:val="0"/>
                <w:sz w:val="24"/>
              </w:rPr>
            </w:pPr>
            <w:r>
              <w:rPr>
                <w:rFonts w:hint="eastAsia" w:ascii="宋体" w:hAnsi="宋体" w:cs="宋体"/>
                <w:kern w:val="0"/>
                <w:sz w:val="24"/>
              </w:rPr>
              <w:t>（含税）</w:t>
            </w:r>
          </w:p>
        </w:tc>
      </w:tr>
      <w:tr>
        <w:tblPrEx>
          <w:tblCellMar>
            <w:top w:w="0" w:type="dxa"/>
            <w:left w:w="108" w:type="dxa"/>
            <w:bottom w:w="0" w:type="dxa"/>
            <w:right w:w="108" w:type="dxa"/>
          </w:tblCellMar>
        </w:tblPrEx>
        <w:trPr>
          <w:trHeight w:val="582"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1"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1"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28"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3"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3"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ascii="宋体" w:hAnsi="宋体"/>
                <w:sz w:val="24"/>
              </w:rPr>
              <w:t>…</w:t>
            </w:r>
          </w:p>
        </w:tc>
        <w:tc>
          <w:tcPr>
            <w:tcW w:w="29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9" w:hRule="atLeast"/>
        </w:trPr>
        <w:tc>
          <w:tcPr>
            <w:tcW w:w="3686"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69" w:hRule="atLeast"/>
        </w:trPr>
        <w:tc>
          <w:tcPr>
            <w:tcW w:w="8647" w:type="dxa"/>
            <w:gridSpan w:val="5"/>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大写：</w:t>
            </w:r>
          </w:p>
        </w:tc>
      </w:tr>
    </w:tbl>
    <w:p>
      <w:pPr>
        <w:ind w:left="454"/>
        <w:rPr>
          <w:rFonts w:cs="宋体"/>
          <w:color w:val="FF0000"/>
          <w:sz w:val="24"/>
        </w:rPr>
      </w:pPr>
    </w:p>
    <w:p>
      <w:pPr>
        <w:ind w:left="454"/>
        <w:rPr>
          <w:rFonts w:cs="宋体"/>
          <w:color w:val="000000"/>
          <w:sz w:val="24"/>
        </w:rPr>
      </w:pPr>
    </w:p>
    <w:p>
      <w:pPr>
        <w:ind w:left="454"/>
        <w:rPr>
          <w:rFonts w:cs="宋体"/>
          <w:color w:val="000000"/>
          <w:sz w:val="24"/>
        </w:rPr>
      </w:pPr>
    </w:p>
    <w:p>
      <w:pPr>
        <w:ind w:left="454"/>
        <w:rPr>
          <w:rFonts w:cs="宋体"/>
          <w:color w:val="000000"/>
          <w:sz w:val="24"/>
        </w:rPr>
      </w:pPr>
    </w:p>
    <w:p>
      <w:pPr>
        <w:ind w:left="454"/>
        <w:rPr>
          <w:color w:val="000000"/>
          <w:sz w:val="24"/>
        </w:rPr>
      </w:pPr>
      <w:r>
        <w:rPr>
          <w:rFonts w:hint="eastAsia" w:cs="宋体"/>
          <w:color w:val="000000"/>
          <w:sz w:val="24"/>
        </w:rPr>
        <w:t>投标单位（盖章）：</w:t>
      </w:r>
    </w:p>
    <w:p>
      <w:pPr>
        <w:ind w:left="454"/>
        <w:rPr>
          <w:color w:val="000000"/>
          <w:sz w:val="24"/>
        </w:rPr>
      </w:pPr>
    </w:p>
    <w:p>
      <w:pPr>
        <w:ind w:left="454"/>
        <w:rPr>
          <w:rFonts w:cs="宋体"/>
          <w:color w:val="000000"/>
          <w:sz w:val="24"/>
        </w:rPr>
      </w:pPr>
      <w:r>
        <w:rPr>
          <w:rFonts w:hint="eastAsia" w:cs="宋体"/>
          <w:color w:val="000000"/>
          <w:sz w:val="24"/>
        </w:rPr>
        <w:t>授权代表（签字）：                                 年</w:t>
      </w:r>
      <w:r>
        <w:rPr>
          <w:color w:val="000000"/>
          <w:sz w:val="24"/>
        </w:rPr>
        <w:t xml:space="preserve">   </w:t>
      </w:r>
      <w:r>
        <w:rPr>
          <w:rFonts w:hint="eastAsia" w:cs="宋体"/>
          <w:color w:val="000000"/>
          <w:sz w:val="24"/>
        </w:rPr>
        <w:t>月</w:t>
      </w:r>
      <w:r>
        <w:rPr>
          <w:color w:val="000000"/>
          <w:sz w:val="24"/>
        </w:rPr>
        <w:t xml:space="preserve">   </w:t>
      </w:r>
      <w:r>
        <w:rPr>
          <w:rFonts w:hint="eastAsia" w:cs="宋体"/>
          <w:color w:val="000000"/>
          <w:sz w:val="24"/>
        </w:rPr>
        <w:t>日</w:t>
      </w:r>
    </w:p>
    <w:p/>
    <w:p>
      <w:r>
        <w:br w:type="page"/>
      </w:r>
      <w:r>
        <w:rPr>
          <w:rFonts w:hint="eastAsia" w:ascii="黑体" w:hAnsi="宋体"/>
          <w:sz w:val="28"/>
          <w:szCs w:val="28"/>
        </w:rPr>
        <w:t xml:space="preserve"> 附件</w:t>
      </w:r>
      <w:bookmarkEnd w:id="53"/>
      <w:r>
        <w:rPr>
          <w:rFonts w:hint="eastAsia" w:ascii="黑体" w:hAnsi="宋体"/>
          <w:sz w:val="28"/>
          <w:szCs w:val="28"/>
        </w:rPr>
        <w:t>四</w:t>
      </w:r>
    </w:p>
    <w:p>
      <w:pPr>
        <w:adjustRightInd w:val="0"/>
        <w:snapToGrid w:val="0"/>
        <w:spacing w:line="500" w:lineRule="atLeast"/>
        <w:jc w:val="center"/>
        <w:rPr>
          <w:rFonts w:ascii="宋体" w:hAnsi="宋体"/>
          <w:b/>
          <w:kern w:val="0"/>
          <w:sz w:val="28"/>
          <w:szCs w:val="28"/>
        </w:rPr>
      </w:pPr>
      <w:bookmarkStart w:id="56" w:name="_Toc141675448"/>
      <w:r>
        <w:rPr>
          <w:rFonts w:ascii="宋体" w:hAnsi="宋体"/>
          <w:b/>
          <w:kern w:val="0"/>
          <w:sz w:val="28"/>
          <w:szCs w:val="28"/>
        </w:rPr>
        <w:t>技术</w:t>
      </w:r>
      <w:r>
        <w:rPr>
          <w:rFonts w:hint="eastAsia" w:ascii="宋体" w:hAnsi="宋体"/>
          <w:b/>
          <w:kern w:val="0"/>
          <w:sz w:val="28"/>
          <w:szCs w:val="28"/>
        </w:rPr>
        <w:t>规格响应/</w:t>
      </w:r>
      <w:r>
        <w:rPr>
          <w:rFonts w:ascii="宋体" w:hAnsi="宋体"/>
          <w:b/>
          <w:kern w:val="0"/>
          <w:sz w:val="28"/>
          <w:szCs w:val="28"/>
        </w:rPr>
        <w:t>偏离表</w:t>
      </w:r>
      <w:bookmarkEnd w:id="56"/>
    </w:p>
    <w:p>
      <w:pPr>
        <w:adjustRightInd w:val="0"/>
        <w:snapToGrid w:val="0"/>
        <w:spacing w:line="500" w:lineRule="atLeast"/>
        <w:ind w:firstLine="3642" w:firstLineChars="1300"/>
        <w:rPr>
          <w:rFonts w:ascii="宋体" w:hAnsi="宋体"/>
          <w:b/>
          <w:kern w:val="0"/>
          <w:sz w:val="28"/>
          <w:szCs w:val="28"/>
        </w:rPr>
      </w:pPr>
    </w:p>
    <w:p>
      <w:pPr>
        <w:adjustRightInd w:val="0"/>
        <w:snapToGrid w:val="0"/>
        <w:spacing w:line="420" w:lineRule="exact"/>
        <w:rPr>
          <w:rFonts w:ascii="宋体" w:hAnsi="宋体"/>
          <w:kern w:val="0"/>
          <w:sz w:val="24"/>
        </w:rPr>
      </w:pPr>
      <w:r>
        <w:rPr>
          <w:rFonts w:hint="eastAsia" w:ascii="宋体" w:hAnsi="宋体"/>
          <w:kern w:val="0"/>
          <w:sz w:val="24"/>
        </w:rPr>
        <w:t>项目名称：</w:t>
      </w:r>
      <w:r>
        <w:rPr>
          <w:rFonts w:hint="eastAsia" w:ascii="宋体" w:hAnsi="宋体"/>
          <w:kern w:val="0"/>
          <w:sz w:val="24"/>
          <w:u w:val="single"/>
        </w:rPr>
        <w:t xml:space="preserve">                         </w:t>
      </w:r>
      <w:r>
        <w:rPr>
          <w:rFonts w:hint="eastAsia" w:ascii="宋体" w:hAnsi="宋体"/>
          <w:kern w:val="0"/>
          <w:sz w:val="24"/>
        </w:rPr>
        <w:t xml:space="preserve"> 招标编号：</w:t>
      </w:r>
      <w:r>
        <w:rPr>
          <w:rFonts w:hint="eastAsia" w:ascii="宋体" w:hAnsi="宋体"/>
          <w:kern w:val="0"/>
          <w:sz w:val="24"/>
          <w:u w:val="single"/>
        </w:rPr>
        <w:t xml:space="preserve">                           </w:t>
      </w:r>
    </w:p>
    <w:p>
      <w:pPr>
        <w:adjustRightInd w:val="0"/>
        <w:snapToGrid w:val="0"/>
        <w:spacing w:line="420" w:lineRule="exact"/>
        <w:rPr>
          <w:rFonts w:ascii="宋体" w:hAnsi="宋体"/>
          <w:kern w:val="0"/>
          <w:sz w:val="24"/>
        </w:rPr>
      </w:pPr>
    </w:p>
    <w:tbl>
      <w:tblPr>
        <w:tblStyle w:val="1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1418"/>
        <w:gridCol w:w="2409"/>
        <w:gridCol w:w="1985"/>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51" w:type="dxa"/>
            <w:vAlign w:val="center"/>
          </w:tcPr>
          <w:p>
            <w:pPr>
              <w:adjustRightInd w:val="0"/>
              <w:snapToGrid w:val="0"/>
              <w:spacing w:line="500" w:lineRule="atLeast"/>
              <w:jc w:val="center"/>
              <w:rPr>
                <w:rFonts w:ascii="宋体" w:hAnsi="宋体"/>
              </w:rPr>
            </w:pPr>
            <w:r>
              <w:rPr>
                <w:rFonts w:ascii="宋体" w:hAnsi="宋体"/>
              </w:rPr>
              <w:t>序号</w:t>
            </w:r>
          </w:p>
        </w:tc>
        <w:tc>
          <w:tcPr>
            <w:tcW w:w="1134" w:type="dxa"/>
            <w:vAlign w:val="center"/>
          </w:tcPr>
          <w:p>
            <w:pPr>
              <w:adjustRightInd w:val="0"/>
              <w:snapToGrid w:val="0"/>
              <w:spacing w:line="500" w:lineRule="atLeast"/>
              <w:jc w:val="center"/>
              <w:rPr>
                <w:rFonts w:ascii="宋体" w:hAnsi="宋体"/>
              </w:rPr>
            </w:pPr>
            <w:r>
              <w:rPr>
                <w:rFonts w:ascii="宋体" w:hAnsi="宋体"/>
              </w:rPr>
              <w:t>项目名称</w:t>
            </w:r>
          </w:p>
        </w:tc>
        <w:tc>
          <w:tcPr>
            <w:tcW w:w="1418" w:type="dxa"/>
            <w:vAlign w:val="center"/>
          </w:tcPr>
          <w:p>
            <w:pPr>
              <w:adjustRightInd w:val="0"/>
              <w:snapToGrid w:val="0"/>
              <w:spacing w:line="500" w:lineRule="atLeast"/>
              <w:jc w:val="center"/>
              <w:rPr>
                <w:rFonts w:ascii="宋体" w:hAnsi="宋体"/>
              </w:rPr>
            </w:pPr>
            <w:r>
              <w:rPr>
                <w:rFonts w:hint="eastAsia" w:ascii="宋体" w:hAnsi="宋体"/>
              </w:rPr>
              <w:t>招标文件条目号</w:t>
            </w:r>
          </w:p>
        </w:tc>
        <w:tc>
          <w:tcPr>
            <w:tcW w:w="2409" w:type="dxa"/>
            <w:vAlign w:val="center"/>
          </w:tcPr>
          <w:p>
            <w:pPr>
              <w:adjustRightInd w:val="0"/>
              <w:snapToGrid w:val="0"/>
              <w:spacing w:line="500" w:lineRule="atLeast"/>
              <w:jc w:val="center"/>
              <w:rPr>
                <w:rFonts w:ascii="宋体" w:hAnsi="宋体"/>
              </w:rPr>
            </w:pPr>
            <w:r>
              <w:rPr>
                <w:rFonts w:ascii="宋体" w:hAnsi="宋体"/>
              </w:rPr>
              <w:t>招标文件技术</w:t>
            </w:r>
            <w:r>
              <w:rPr>
                <w:rFonts w:hint="eastAsia" w:ascii="宋体" w:hAnsi="宋体"/>
              </w:rPr>
              <w:t>规格</w:t>
            </w:r>
          </w:p>
        </w:tc>
        <w:tc>
          <w:tcPr>
            <w:tcW w:w="1985" w:type="dxa"/>
            <w:vAlign w:val="center"/>
          </w:tcPr>
          <w:p>
            <w:pPr>
              <w:adjustRightInd w:val="0"/>
              <w:snapToGrid w:val="0"/>
              <w:spacing w:line="500" w:lineRule="atLeast"/>
              <w:jc w:val="center"/>
              <w:rPr>
                <w:rFonts w:ascii="宋体" w:hAnsi="宋体"/>
              </w:rPr>
            </w:pPr>
            <w:r>
              <w:rPr>
                <w:rFonts w:ascii="宋体" w:hAnsi="宋体"/>
              </w:rPr>
              <w:t>投标文件技术</w:t>
            </w:r>
            <w:r>
              <w:rPr>
                <w:rFonts w:hint="eastAsia" w:ascii="宋体" w:hAnsi="宋体"/>
              </w:rPr>
              <w:t>规格</w:t>
            </w:r>
          </w:p>
        </w:tc>
        <w:tc>
          <w:tcPr>
            <w:tcW w:w="1690" w:type="dxa"/>
            <w:vAlign w:val="center"/>
          </w:tcPr>
          <w:p>
            <w:pPr>
              <w:adjustRightInd w:val="0"/>
              <w:snapToGrid w:val="0"/>
              <w:spacing w:line="500" w:lineRule="atLeast"/>
              <w:jc w:val="center"/>
              <w:rPr>
                <w:rFonts w:ascii="宋体" w:hAnsi="宋体"/>
              </w:rPr>
            </w:pPr>
            <w:r>
              <w:rPr>
                <w:rFonts w:hint="eastAsia" w:ascii="宋体" w:hAnsi="宋体"/>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1" w:type="dxa"/>
          </w:tcPr>
          <w:p>
            <w:pPr>
              <w:adjustRightInd w:val="0"/>
              <w:snapToGrid w:val="0"/>
              <w:spacing w:line="240" w:lineRule="exact"/>
              <w:rPr>
                <w:rFonts w:ascii="宋体" w:hAnsi="宋体"/>
              </w:rPr>
            </w:pPr>
          </w:p>
        </w:tc>
        <w:tc>
          <w:tcPr>
            <w:tcW w:w="1134" w:type="dxa"/>
          </w:tcPr>
          <w:p>
            <w:pPr>
              <w:adjustRightInd w:val="0"/>
              <w:snapToGrid w:val="0"/>
              <w:spacing w:line="240" w:lineRule="exact"/>
              <w:rPr>
                <w:rFonts w:ascii="宋体" w:hAnsi="宋体"/>
              </w:rPr>
            </w:pPr>
          </w:p>
        </w:tc>
        <w:tc>
          <w:tcPr>
            <w:tcW w:w="1418" w:type="dxa"/>
          </w:tcPr>
          <w:p>
            <w:pPr>
              <w:adjustRightInd w:val="0"/>
              <w:snapToGrid w:val="0"/>
              <w:spacing w:line="240" w:lineRule="exact"/>
              <w:rPr>
                <w:rFonts w:ascii="宋体" w:hAnsi="宋体"/>
              </w:rPr>
            </w:pPr>
          </w:p>
        </w:tc>
        <w:tc>
          <w:tcPr>
            <w:tcW w:w="2409" w:type="dxa"/>
          </w:tcPr>
          <w:p>
            <w:pPr>
              <w:adjustRightInd w:val="0"/>
              <w:snapToGrid w:val="0"/>
              <w:spacing w:line="240" w:lineRule="exact"/>
              <w:rPr>
                <w:rFonts w:ascii="宋体" w:hAnsi="宋体"/>
              </w:rPr>
            </w:pPr>
          </w:p>
        </w:tc>
        <w:tc>
          <w:tcPr>
            <w:tcW w:w="1985" w:type="dxa"/>
          </w:tcPr>
          <w:p>
            <w:pPr>
              <w:adjustRightInd w:val="0"/>
              <w:snapToGrid w:val="0"/>
              <w:spacing w:line="240" w:lineRule="exact"/>
              <w:rPr>
                <w:rFonts w:ascii="宋体" w:hAnsi="宋体"/>
              </w:rPr>
            </w:pPr>
          </w:p>
        </w:tc>
        <w:tc>
          <w:tcPr>
            <w:tcW w:w="1690" w:type="dxa"/>
          </w:tcPr>
          <w:p>
            <w:pPr>
              <w:adjustRightInd w:val="0"/>
              <w:snapToGrid w:val="0"/>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1" w:type="dxa"/>
          </w:tcPr>
          <w:p>
            <w:pPr>
              <w:adjustRightInd w:val="0"/>
              <w:snapToGrid w:val="0"/>
              <w:spacing w:line="240" w:lineRule="exact"/>
              <w:rPr>
                <w:rFonts w:ascii="宋体" w:hAnsi="宋体"/>
              </w:rPr>
            </w:pPr>
          </w:p>
        </w:tc>
        <w:tc>
          <w:tcPr>
            <w:tcW w:w="1134" w:type="dxa"/>
          </w:tcPr>
          <w:p>
            <w:pPr>
              <w:adjustRightInd w:val="0"/>
              <w:snapToGrid w:val="0"/>
              <w:spacing w:line="240" w:lineRule="exact"/>
              <w:rPr>
                <w:rFonts w:ascii="宋体" w:hAnsi="宋体"/>
              </w:rPr>
            </w:pPr>
          </w:p>
        </w:tc>
        <w:tc>
          <w:tcPr>
            <w:tcW w:w="1418" w:type="dxa"/>
          </w:tcPr>
          <w:p>
            <w:pPr>
              <w:adjustRightInd w:val="0"/>
              <w:snapToGrid w:val="0"/>
              <w:spacing w:line="240" w:lineRule="exact"/>
              <w:rPr>
                <w:rFonts w:ascii="宋体" w:hAnsi="宋体"/>
              </w:rPr>
            </w:pPr>
          </w:p>
        </w:tc>
        <w:tc>
          <w:tcPr>
            <w:tcW w:w="2409" w:type="dxa"/>
          </w:tcPr>
          <w:p>
            <w:pPr>
              <w:adjustRightInd w:val="0"/>
              <w:snapToGrid w:val="0"/>
              <w:spacing w:line="240" w:lineRule="exact"/>
              <w:rPr>
                <w:rFonts w:ascii="宋体" w:hAnsi="宋体"/>
              </w:rPr>
            </w:pPr>
          </w:p>
        </w:tc>
        <w:tc>
          <w:tcPr>
            <w:tcW w:w="1985" w:type="dxa"/>
          </w:tcPr>
          <w:p>
            <w:pPr>
              <w:adjustRightInd w:val="0"/>
              <w:snapToGrid w:val="0"/>
              <w:spacing w:line="240" w:lineRule="exact"/>
              <w:rPr>
                <w:rFonts w:ascii="宋体" w:hAnsi="宋体"/>
              </w:rPr>
            </w:pPr>
          </w:p>
        </w:tc>
        <w:tc>
          <w:tcPr>
            <w:tcW w:w="1690" w:type="dxa"/>
          </w:tcPr>
          <w:p>
            <w:pPr>
              <w:adjustRightInd w:val="0"/>
              <w:snapToGrid w:val="0"/>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1" w:type="dxa"/>
          </w:tcPr>
          <w:p>
            <w:pPr>
              <w:adjustRightInd w:val="0"/>
              <w:snapToGrid w:val="0"/>
              <w:spacing w:line="240" w:lineRule="exact"/>
              <w:rPr>
                <w:rFonts w:ascii="宋体" w:hAnsi="宋体"/>
              </w:rPr>
            </w:pPr>
          </w:p>
        </w:tc>
        <w:tc>
          <w:tcPr>
            <w:tcW w:w="1134" w:type="dxa"/>
          </w:tcPr>
          <w:p>
            <w:pPr>
              <w:adjustRightInd w:val="0"/>
              <w:snapToGrid w:val="0"/>
              <w:spacing w:line="240" w:lineRule="exact"/>
              <w:rPr>
                <w:rFonts w:ascii="宋体" w:hAnsi="宋体"/>
              </w:rPr>
            </w:pPr>
          </w:p>
        </w:tc>
        <w:tc>
          <w:tcPr>
            <w:tcW w:w="1418" w:type="dxa"/>
          </w:tcPr>
          <w:p>
            <w:pPr>
              <w:adjustRightInd w:val="0"/>
              <w:snapToGrid w:val="0"/>
              <w:spacing w:line="240" w:lineRule="exact"/>
              <w:rPr>
                <w:rFonts w:ascii="宋体" w:hAnsi="宋体"/>
              </w:rPr>
            </w:pPr>
          </w:p>
        </w:tc>
        <w:tc>
          <w:tcPr>
            <w:tcW w:w="2409" w:type="dxa"/>
          </w:tcPr>
          <w:p>
            <w:pPr>
              <w:adjustRightInd w:val="0"/>
              <w:snapToGrid w:val="0"/>
              <w:spacing w:line="240" w:lineRule="exact"/>
              <w:rPr>
                <w:rFonts w:ascii="宋体" w:hAnsi="宋体"/>
              </w:rPr>
            </w:pPr>
          </w:p>
        </w:tc>
        <w:tc>
          <w:tcPr>
            <w:tcW w:w="1985" w:type="dxa"/>
          </w:tcPr>
          <w:p>
            <w:pPr>
              <w:adjustRightInd w:val="0"/>
              <w:snapToGrid w:val="0"/>
              <w:spacing w:line="240" w:lineRule="exact"/>
              <w:rPr>
                <w:rFonts w:ascii="宋体" w:hAnsi="宋体"/>
              </w:rPr>
            </w:pPr>
          </w:p>
        </w:tc>
        <w:tc>
          <w:tcPr>
            <w:tcW w:w="1690" w:type="dxa"/>
          </w:tcPr>
          <w:p>
            <w:pPr>
              <w:adjustRightInd w:val="0"/>
              <w:snapToGrid w:val="0"/>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1" w:type="dxa"/>
          </w:tcPr>
          <w:p>
            <w:pPr>
              <w:adjustRightInd w:val="0"/>
              <w:snapToGrid w:val="0"/>
              <w:spacing w:line="240" w:lineRule="exact"/>
              <w:rPr>
                <w:rFonts w:ascii="宋体" w:hAnsi="宋体"/>
              </w:rPr>
            </w:pPr>
          </w:p>
        </w:tc>
        <w:tc>
          <w:tcPr>
            <w:tcW w:w="1134" w:type="dxa"/>
          </w:tcPr>
          <w:p>
            <w:pPr>
              <w:adjustRightInd w:val="0"/>
              <w:snapToGrid w:val="0"/>
              <w:spacing w:line="240" w:lineRule="exact"/>
              <w:rPr>
                <w:rFonts w:ascii="宋体" w:hAnsi="宋体"/>
              </w:rPr>
            </w:pPr>
          </w:p>
        </w:tc>
        <w:tc>
          <w:tcPr>
            <w:tcW w:w="1418" w:type="dxa"/>
          </w:tcPr>
          <w:p>
            <w:pPr>
              <w:adjustRightInd w:val="0"/>
              <w:snapToGrid w:val="0"/>
              <w:spacing w:line="240" w:lineRule="exact"/>
              <w:rPr>
                <w:rFonts w:ascii="宋体" w:hAnsi="宋体"/>
              </w:rPr>
            </w:pPr>
          </w:p>
        </w:tc>
        <w:tc>
          <w:tcPr>
            <w:tcW w:w="2409" w:type="dxa"/>
          </w:tcPr>
          <w:p>
            <w:pPr>
              <w:adjustRightInd w:val="0"/>
              <w:snapToGrid w:val="0"/>
              <w:spacing w:line="240" w:lineRule="exact"/>
              <w:rPr>
                <w:rFonts w:ascii="宋体" w:hAnsi="宋体"/>
              </w:rPr>
            </w:pPr>
          </w:p>
        </w:tc>
        <w:tc>
          <w:tcPr>
            <w:tcW w:w="1985" w:type="dxa"/>
          </w:tcPr>
          <w:p>
            <w:pPr>
              <w:adjustRightInd w:val="0"/>
              <w:snapToGrid w:val="0"/>
              <w:spacing w:line="240" w:lineRule="exact"/>
              <w:rPr>
                <w:rFonts w:ascii="宋体" w:hAnsi="宋体"/>
              </w:rPr>
            </w:pPr>
          </w:p>
        </w:tc>
        <w:tc>
          <w:tcPr>
            <w:tcW w:w="1690" w:type="dxa"/>
          </w:tcPr>
          <w:p>
            <w:pPr>
              <w:adjustRightInd w:val="0"/>
              <w:snapToGrid w:val="0"/>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1" w:type="dxa"/>
          </w:tcPr>
          <w:p>
            <w:pPr>
              <w:adjustRightInd w:val="0"/>
              <w:snapToGrid w:val="0"/>
              <w:spacing w:line="240" w:lineRule="exact"/>
              <w:rPr>
                <w:rFonts w:ascii="宋体" w:hAnsi="宋体"/>
              </w:rPr>
            </w:pPr>
          </w:p>
        </w:tc>
        <w:tc>
          <w:tcPr>
            <w:tcW w:w="1134" w:type="dxa"/>
          </w:tcPr>
          <w:p>
            <w:pPr>
              <w:adjustRightInd w:val="0"/>
              <w:snapToGrid w:val="0"/>
              <w:spacing w:line="240" w:lineRule="exact"/>
              <w:rPr>
                <w:rFonts w:ascii="宋体" w:hAnsi="宋体"/>
              </w:rPr>
            </w:pPr>
          </w:p>
        </w:tc>
        <w:tc>
          <w:tcPr>
            <w:tcW w:w="1418" w:type="dxa"/>
          </w:tcPr>
          <w:p>
            <w:pPr>
              <w:adjustRightInd w:val="0"/>
              <w:snapToGrid w:val="0"/>
              <w:spacing w:line="240" w:lineRule="exact"/>
              <w:rPr>
                <w:rFonts w:ascii="宋体" w:hAnsi="宋体"/>
              </w:rPr>
            </w:pPr>
          </w:p>
        </w:tc>
        <w:tc>
          <w:tcPr>
            <w:tcW w:w="2409" w:type="dxa"/>
          </w:tcPr>
          <w:p>
            <w:pPr>
              <w:adjustRightInd w:val="0"/>
              <w:snapToGrid w:val="0"/>
              <w:spacing w:line="240" w:lineRule="exact"/>
              <w:rPr>
                <w:rFonts w:ascii="宋体" w:hAnsi="宋体"/>
              </w:rPr>
            </w:pPr>
          </w:p>
        </w:tc>
        <w:tc>
          <w:tcPr>
            <w:tcW w:w="1985" w:type="dxa"/>
          </w:tcPr>
          <w:p>
            <w:pPr>
              <w:adjustRightInd w:val="0"/>
              <w:snapToGrid w:val="0"/>
              <w:spacing w:line="240" w:lineRule="exact"/>
              <w:rPr>
                <w:rFonts w:ascii="宋体" w:hAnsi="宋体"/>
              </w:rPr>
            </w:pPr>
          </w:p>
        </w:tc>
        <w:tc>
          <w:tcPr>
            <w:tcW w:w="1690" w:type="dxa"/>
          </w:tcPr>
          <w:p>
            <w:pPr>
              <w:adjustRightInd w:val="0"/>
              <w:snapToGrid w:val="0"/>
              <w:spacing w:line="240" w:lineRule="exact"/>
              <w:rPr>
                <w:rFonts w:ascii="宋体" w:hAnsi="宋体"/>
              </w:rPr>
            </w:pPr>
          </w:p>
        </w:tc>
      </w:tr>
    </w:tbl>
    <w:p>
      <w:pPr>
        <w:adjustRightInd w:val="0"/>
        <w:snapToGrid w:val="0"/>
        <w:spacing w:line="500" w:lineRule="atLeast"/>
        <w:rPr>
          <w:rFonts w:ascii="宋体" w:hAnsi="宋体"/>
          <w:sz w:val="24"/>
        </w:rPr>
      </w:pPr>
      <w:r>
        <w:rPr>
          <w:rFonts w:hint="eastAsia" w:ascii="宋体" w:hAnsi="宋体"/>
          <w:sz w:val="24"/>
        </w:rPr>
        <w:t>备注：</w:t>
      </w:r>
    </w:p>
    <w:p>
      <w:pPr>
        <w:adjustRightInd w:val="0"/>
        <w:snapToGrid w:val="0"/>
        <w:spacing w:line="500" w:lineRule="atLeast"/>
      </w:pPr>
      <w:r>
        <w:rPr>
          <w:rFonts w:hint="eastAsia"/>
        </w:rPr>
        <w:t>1、投标方应对招标文件的技术参数或要求逐项如实填写，逐条说明所提供项目和服务对应招标文件技术要求或技术规格书的响应或偏离情况。</w:t>
      </w:r>
    </w:p>
    <w:p>
      <w:pPr>
        <w:adjustRightInd w:val="0"/>
        <w:snapToGrid w:val="0"/>
        <w:spacing w:line="500" w:lineRule="atLeast"/>
      </w:pPr>
      <w:r>
        <w:rPr>
          <w:rFonts w:hint="eastAsia"/>
        </w:rPr>
        <w:t>2、投标方不能复制招标文件的技术参数或要求作为应答内容，也不能只填写“满足”字样，对其中重要的技术参数或要求，应提供技术支持资料，</w:t>
      </w:r>
      <w:r>
        <w:rPr>
          <w:rFonts w:hint="eastAsia"/>
          <w:b/>
        </w:rPr>
        <w:t>技术支持资料指：</w:t>
      </w:r>
      <w:r>
        <w:rPr>
          <w:rFonts w:hint="eastAsia"/>
        </w:rPr>
        <w:t>公开发布的印制产品说明书、权威机构出具的专利证书、含区县级以上科委证明资料、其他技术技持资料。凡不符合上述要求的将视为无效技术支持资料。</w:t>
      </w:r>
    </w:p>
    <w:p>
      <w:pPr>
        <w:pStyle w:val="2"/>
      </w:pPr>
    </w:p>
    <w:p>
      <w:pPr>
        <w:adjustRightInd w:val="0"/>
        <w:snapToGrid w:val="0"/>
        <w:spacing w:line="500" w:lineRule="atLeast"/>
        <w:rPr>
          <w:rFonts w:ascii="宋体" w:hAnsi="宋体"/>
          <w:sz w:val="24"/>
        </w:rPr>
      </w:pPr>
      <w:r>
        <w:rPr>
          <w:rFonts w:ascii="宋体" w:hAnsi="宋体"/>
          <w:sz w:val="24"/>
        </w:rPr>
        <w:t>投标方：（盖</w:t>
      </w:r>
      <w:r>
        <w:rPr>
          <w:rFonts w:hint="eastAsia" w:ascii="宋体" w:hAnsi="宋体"/>
          <w:sz w:val="24"/>
        </w:rPr>
        <w:t>公</w:t>
      </w:r>
      <w:r>
        <w:rPr>
          <w:rFonts w:ascii="宋体" w:hAnsi="宋体"/>
          <w:sz w:val="24"/>
        </w:rPr>
        <w:t>章）</w:t>
      </w:r>
    </w:p>
    <w:p>
      <w:pPr>
        <w:adjustRightInd w:val="0"/>
        <w:snapToGrid w:val="0"/>
        <w:spacing w:line="500" w:lineRule="atLeast"/>
        <w:rPr>
          <w:rFonts w:ascii="宋体" w:hAnsi="宋体"/>
          <w:sz w:val="24"/>
        </w:rPr>
      </w:pPr>
      <w:r>
        <w:rPr>
          <w:rFonts w:ascii="宋体" w:hAnsi="宋体"/>
          <w:sz w:val="24"/>
        </w:rPr>
        <w:t>法定代表人或其授权代表：（签字）</w:t>
      </w:r>
    </w:p>
    <w:p>
      <w:pPr>
        <w:adjustRightInd w:val="0"/>
        <w:snapToGrid w:val="0"/>
        <w:spacing w:line="500" w:lineRule="atLeast"/>
        <w:ind w:firstLine="4680" w:firstLineChars="1950"/>
        <w:rPr>
          <w:rFonts w:ascii="宋体" w:hAnsi="宋体"/>
          <w:sz w:val="24"/>
        </w:rPr>
      </w:pPr>
      <w:r>
        <w:rPr>
          <w:rFonts w:ascii="宋体" w:hAnsi="宋体"/>
          <w:sz w:val="24"/>
        </w:rPr>
        <w:t xml:space="preserve">年   月   </w:t>
      </w:r>
      <w:r>
        <w:rPr>
          <w:rFonts w:hint="eastAsia" w:ascii="宋体" w:hAnsi="宋体"/>
          <w:sz w:val="24"/>
        </w:rPr>
        <w:t>日</w:t>
      </w:r>
      <w:bookmarkStart w:id="57" w:name="_Toc141675449"/>
    </w:p>
    <w:p>
      <w:pPr>
        <w:adjustRightInd w:val="0"/>
        <w:snapToGrid w:val="0"/>
        <w:spacing w:line="500" w:lineRule="atLeast"/>
        <w:rPr>
          <w:rFonts w:ascii="宋体" w:hAnsi="宋体"/>
          <w:b/>
          <w:bCs/>
          <w:sz w:val="30"/>
          <w:szCs w:val="30"/>
        </w:rPr>
      </w:pPr>
      <w:r>
        <w:rPr>
          <w:rFonts w:ascii="宋体" w:hAnsi="宋体"/>
          <w:sz w:val="24"/>
        </w:rPr>
        <w:br w:type="page"/>
      </w:r>
    </w:p>
    <w:p>
      <w:pPr>
        <w:pStyle w:val="3"/>
        <w:tabs>
          <w:tab w:val="left" w:pos="454"/>
          <w:tab w:val="left" w:pos="708"/>
        </w:tabs>
        <w:snapToGrid w:val="0"/>
        <w:spacing w:line="500" w:lineRule="atLeast"/>
        <w:jc w:val="left"/>
        <w:rPr>
          <w:rFonts w:ascii="黑体" w:hAnsi="宋体"/>
          <w:sz w:val="28"/>
          <w:szCs w:val="28"/>
        </w:rPr>
      </w:pPr>
      <w:bookmarkStart w:id="58" w:name="_Toc398892556"/>
      <w:r>
        <w:rPr>
          <w:rFonts w:hint="eastAsia" w:ascii="黑体" w:hAnsi="宋体"/>
          <w:sz w:val="28"/>
          <w:szCs w:val="28"/>
        </w:rPr>
        <w:t xml:space="preserve"> 附件</w:t>
      </w:r>
      <w:bookmarkEnd w:id="57"/>
      <w:bookmarkEnd w:id="58"/>
      <w:r>
        <w:rPr>
          <w:rFonts w:hint="eastAsia" w:ascii="黑体" w:hAnsi="宋体"/>
          <w:sz w:val="28"/>
          <w:szCs w:val="28"/>
        </w:rPr>
        <w:t>五</w:t>
      </w:r>
    </w:p>
    <w:p>
      <w:pPr>
        <w:adjustRightInd w:val="0"/>
        <w:snapToGrid w:val="0"/>
        <w:spacing w:line="500" w:lineRule="atLeast"/>
        <w:rPr>
          <w:rFonts w:ascii="宋体" w:hAnsi="宋体"/>
          <w:b/>
        </w:rPr>
      </w:pPr>
    </w:p>
    <w:p>
      <w:pPr>
        <w:adjustRightInd w:val="0"/>
        <w:snapToGrid w:val="0"/>
        <w:spacing w:line="500" w:lineRule="atLeast"/>
        <w:jc w:val="center"/>
        <w:rPr>
          <w:rFonts w:ascii="宋体" w:hAnsi="宋体"/>
          <w:b/>
          <w:kern w:val="0"/>
          <w:sz w:val="30"/>
          <w:szCs w:val="30"/>
        </w:rPr>
      </w:pPr>
      <w:bookmarkStart w:id="59" w:name="_Toc141675450"/>
      <w:r>
        <w:rPr>
          <w:rFonts w:ascii="宋体" w:hAnsi="宋体"/>
          <w:b/>
          <w:kern w:val="0"/>
          <w:sz w:val="30"/>
          <w:szCs w:val="30"/>
        </w:rPr>
        <w:t>商务条款</w:t>
      </w:r>
      <w:r>
        <w:rPr>
          <w:rFonts w:hint="eastAsia" w:ascii="宋体" w:hAnsi="宋体"/>
          <w:b/>
          <w:kern w:val="0"/>
          <w:sz w:val="30"/>
          <w:szCs w:val="30"/>
        </w:rPr>
        <w:t>响应/</w:t>
      </w:r>
      <w:r>
        <w:rPr>
          <w:rFonts w:ascii="宋体" w:hAnsi="宋体"/>
          <w:b/>
          <w:kern w:val="0"/>
          <w:sz w:val="30"/>
          <w:szCs w:val="30"/>
        </w:rPr>
        <w:t>偏离表</w:t>
      </w:r>
      <w:bookmarkEnd w:id="59"/>
    </w:p>
    <w:p>
      <w:pPr>
        <w:adjustRightInd w:val="0"/>
        <w:snapToGrid w:val="0"/>
        <w:spacing w:line="500" w:lineRule="atLeast"/>
        <w:jc w:val="center"/>
        <w:rPr>
          <w:rFonts w:ascii="宋体" w:hAnsi="宋体"/>
          <w:b/>
          <w:kern w:val="0"/>
          <w:sz w:val="30"/>
          <w:szCs w:val="30"/>
        </w:rPr>
      </w:pPr>
    </w:p>
    <w:p>
      <w:pPr>
        <w:adjustRightInd w:val="0"/>
        <w:snapToGrid w:val="0"/>
        <w:spacing w:line="500" w:lineRule="atLeast"/>
        <w:rPr>
          <w:rFonts w:ascii="宋体" w:hAnsi="宋体"/>
          <w:kern w:val="0"/>
          <w:sz w:val="24"/>
        </w:rPr>
      </w:pPr>
      <w:r>
        <w:rPr>
          <w:rFonts w:hint="eastAsia" w:ascii="宋体" w:hAnsi="宋体"/>
          <w:kern w:val="0"/>
          <w:sz w:val="24"/>
        </w:rPr>
        <w:t>项目名称：</w:t>
      </w:r>
      <w:r>
        <w:rPr>
          <w:rFonts w:hint="eastAsia" w:ascii="宋体" w:hAnsi="宋体"/>
          <w:kern w:val="0"/>
          <w:sz w:val="24"/>
          <w:u w:val="single"/>
        </w:rPr>
        <w:t xml:space="preserve">                         </w:t>
      </w:r>
      <w:r>
        <w:rPr>
          <w:rFonts w:hint="eastAsia" w:ascii="宋体" w:hAnsi="宋体"/>
          <w:kern w:val="0"/>
          <w:sz w:val="24"/>
        </w:rPr>
        <w:t xml:space="preserve"> 招标编号：</w:t>
      </w:r>
      <w:r>
        <w:rPr>
          <w:rFonts w:hint="eastAsia" w:ascii="宋体" w:hAnsi="宋体"/>
          <w:kern w:val="0"/>
          <w:sz w:val="24"/>
          <w:u w:val="single"/>
        </w:rPr>
        <w:t xml:space="preserve">                         </w:t>
      </w:r>
    </w:p>
    <w:p>
      <w:pPr>
        <w:adjustRightInd w:val="0"/>
        <w:snapToGrid w:val="0"/>
        <w:spacing w:line="500" w:lineRule="atLeast"/>
        <w:rPr>
          <w:rFonts w:ascii="宋体" w:hAnsi="宋体"/>
          <w:kern w:val="0"/>
          <w:sz w:val="24"/>
        </w:rPr>
      </w:pPr>
    </w:p>
    <w:tbl>
      <w:tblPr>
        <w:tblStyle w:val="1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410"/>
        <w:gridCol w:w="2693"/>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rPr>
            </w:pPr>
            <w:r>
              <w:rPr>
                <w:rFonts w:ascii="宋体" w:hAnsi="宋体"/>
              </w:rPr>
              <w:t>序号</w:t>
            </w:r>
          </w:p>
        </w:tc>
        <w:tc>
          <w:tcPr>
            <w:tcW w:w="1276" w:type="dxa"/>
            <w:vAlign w:val="center"/>
          </w:tcPr>
          <w:p>
            <w:pPr>
              <w:adjustRightInd w:val="0"/>
              <w:snapToGrid w:val="0"/>
              <w:spacing w:line="500" w:lineRule="atLeast"/>
              <w:jc w:val="center"/>
              <w:rPr>
                <w:rFonts w:ascii="宋体" w:hAnsi="宋体"/>
              </w:rPr>
            </w:pPr>
            <w:r>
              <w:rPr>
                <w:rFonts w:ascii="宋体" w:hAnsi="宋体"/>
              </w:rPr>
              <w:t>招标文件条目号</w:t>
            </w:r>
          </w:p>
        </w:tc>
        <w:tc>
          <w:tcPr>
            <w:tcW w:w="2410" w:type="dxa"/>
            <w:vAlign w:val="center"/>
          </w:tcPr>
          <w:p>
            <w:pPr>
              <w:adjustRightInd w:val="0"/>
              <w:snapToGrid w:val="0"/>
              <w:spacing w:line="500" w:lineRule="atLeast"/>
              <w:jc w:val="center"/>
              <w:rPr>
                <w:rFonts w:ascii="宋体" w:hAnsi="宋体"/>
              </w:rPr>
            </w:pPr>
            <w:r>
              <w:rPr>
                <w:rFonts w:ascii="宋体" w:hAnsi="宋体"/>
              </w:rPr>
              <w:t>招标文件商务条款</w:t>
            </w:r>
          </w:p>
        </w:tc>
        <w:tc>
          <w:tcPr>
            <w:tcW w:w="2693" w:type="dxa"/>
            <w:vAlign w:val="center"/>
          </w:tcPr>
          <w:p>
            <w:pPr>
              <w:adjustRightInd w:val="0"/>
              <w:snapToGrid w:val="0"/>
              <w:spacing w:line="500" w:lineRule="atLeast"/>
              <w:jc w:val="center"/>
              <w:rPr>
                <w:rFonts w:ascii="宋体" w:hAnsi="宋体"/>
              </w:rPr>
            </w:pPr>
            <w:r>
              <w:rPr>
                <w:rFonts w:ascii="宋体" w:hAnsi="宋体"/>
              </w:rPr>
              <w:t>投标文件商务条款</w:t>
            </w:r>
          </w:p>
        </w:tc>
        <w:tc>
          <w:tcPr>
            <w:tcW w:w="2128" w:type="dxa"/>
            <w:vAlign w:val="center"/>
          </w:tcPr>
          <w:p>
            <w:pPr>
              <w:adjustRightInd w:val="0"/>
              <w:snapToGrid w:val="0"/>
              <w:spacing w:line="500" w:lineRule="atLeast"/>
              <w:jc w:val="center"/>
              <w:rPr>
                <w:rFonts w:ascii="宋体" w:hAnsi="宋体"/>
              </w:rPr>
            </w:pPr>
            <w:r>
              <w:rPr>
                <w:rFonts w:hint="eastAsia" w:ascii="宋体" w:hAnsi="宋体"/>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rPr>
            </w:pPr>
          </w:p>
        </w:tc>
        <w:tc>
          <w:tcPr>
            <w:tcW w:w="1276" w:type="dxa"/>
            <w:vAlign w:val="center"/>
          </w:tcPr>
          <w:p>
            <w:pPr>
              <w:adjustRightInd w:val="0"/>
              <w:snapToGrid w:val="0"/>
              <w:spacing w:line="500" w:lineRule="atLeast"/>
              <w:jc w:val="center"/>
              <w:rPr>
                <w:rFonts w:ascii="宋体" w:hAnsi="宋体"/>
              </w:rPr>
            </w:pPr>
          </w:p>
        </w:tc>
        <w:tc>
          <w:tcPr>
            <w:tcW w:w="2410" w:type="dxa"/>
            <w:vAlign w:val="center"/>
          </w:tcPr>
          <w:p>
            <w:pPr>
              <w:adjustRightInd w:val="0"/>
              <w:snapToGrid w:val="0"/>
              <w:spacing w:line="500" w:lineRule="atLeast"/>
              <w:jc w:val="center"/>
              <w:rPr>
                <w:rFonts w:ascii="宋体" w:hAnsi="宋体"/>
              </w:rPr>
            </w:pPr>
          </w:p>
        </w:tc>
        <w:tc>
          <w:tcPr>
            <w:tcW w:w="2693" w:type="dxa"/>
            <w:vAlign w:val="center"/>
          </w:tcPr>
          <w:p>
            <w:pPr>
              <w:adjustRightInd w:val="0"/>
              <w:snapToGrid w:val="0"/>
              <w:spacing w:line="500" w:lineRule="atLeast"/>
              <w:jc w:val="center"/>
              <w:rPr>
                <w:rFonts w:ascii="宋体" w:hAnsi="宋体"/>
              </w:rPr>
            </w:pPr>
          </w:p>
        </w:tc>
        <w:tc>
          <w:tcPr>
            <w:tcW w:w="2128" w:type="dxa"/>
            <w:vAlign w:val="center"/>
          </w:tcPr>
          <w:p>
            <w:pPr>
              <w:adjustRightInd w:val="0"/>
              <w:snapToGrid w:val="0"/>
              <w:spacing w:line="50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rPr>
            </w:pPr>
          </w:p>
        </w:tc>
        <w:tc>
          <w:tcPr>
            <w:tcW w:w="1276" w:type="dxa"/>
            <w:vAlign w:val="center"/>
          </w:tcPr>
          <w:p>
            <w:pPr>
              <w:adjustRightInd w:val="0"/>
              <w:snapToGrid w:val="0"/>
              <w:spacing w:line="500" w:lineRule="atLeast"/>
              <w:jc w:val="center"/>
              <w:rPr>
                <w:rFonts w:ascii="宋体" w:hAnsi="宋体"/>
              </w:rPr>
            </w:pPr>
          </w:p>
        </w:tc>
        <w:tc>
          <w:tcPr>
            <w:tcW w:w="2410" w:type="dxa"/>
            <w:vAlign w:val="center"/>
          </w:tcPr>
          <w:p>
            <w:pPr>
              <w:adjustRightInd w:val="0"/>
              <w:snapToGrid w:val="0"/>
              <w:spacing w:line="500" w:lineRule="atLeast"/>
              <w:jc w:val="center"/>
              <w:rPr>
                <w:rFonts w:ascii="宋体" w:hAnsi="宋体"/>
              </w:rPr>
            </w:pPr>
          </w:p>
        </w:tc>
        <w:tc>
          <w:tcPr>
            <w:tcW w:w="2693" w:type="dxa"/>
            <w:vAlign w:val="center"/>
          </w:tcPr>
          <w:p>
            <w:pPr>
              <w:adjustRightInd w:val="0"/>
              <w:snapToGrid w:val="0"/>
              <w:spacing w:line="500" w:lineRule="atLeast"/>
              <w:jc w:val="center"/>
              <w:rPr>
                <w:rFonts w:ascii="宋体" w:hAnsi="宋体"/>
              </w:rPr>
            </w:pPr>
          </w:p>
        </w:tc>
        <w:tc>
          <w:tcPr>
            <w:tcW w:w="2128" w:type="dxa"/>
            <w:vAlign w:val="center"/>
          </w:tcPr>
          <w:p>
            <w:pPr>
              <w:adjustRightInd w:val="0"/>
              <w:snapToGrid w:val="0"/>
              <w:spacing w:line="50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rPr>
            </w:pPr>
          </w:p>
        </w:tc>
        <w:tc>
          <w:tcPr>
            <w:tcW w:w="1276" w:type="dxa"/>
            <w:vAlign w:val="center"/>
          </w:tcPr>
          <w:p>
            <w:pPr>
              <w:adjustRightInd w:val="0"/>
              <w:snapToGrid w:val="0"/>
              <w:spacing w:line="500" w:lineRule="atLeast"/>
              <w:jc w:val="center"/>
              <w:rPr>
                <w:rFonts w:ascii="宋体" w:hAnsi="宋体"/>
              </w:rPr>
            </w:pPr>
          </w:p>
        </w:tc>
        <w:tc>
          <w:tcPr>
            <w:tcW w:w="2410" w:type="dxa"/>
            <w:vAlign w:val="center"/>
          </w:tcPr>
          <w:p>
            <w:pPr>
              <w:adjustRightInd w:val="0"/>
              <w:snapToGrid w:val="0"/>
              <w:spacing w:line="500" w:lineRule="atLeast"/>
              <w:jc w:val="center"/>
              <w:rPr>
                <w:rFonts w:ascii="宋体" w:hAnsi="宋体"/>
              </w:rPr>
            </w:pPr>
          </w:p>
        </w:tc>
        <w:tc>
          <w:tcPr>
            <w:tcW w:w="2693" w:type="dxa"/>
            <w:vAlign w:val="center"/>
          </w:tcPr>
          <w:p>
            <w:pPr>
              <w:adjustRightInd w:val="0"/>
              <w:snapToGrid w:val="0"/>
              <w:spacing w:line="500" w:lineRule="atLeast"/>
              <w:jc w:val="center"/>
              <w:rPr>
                <w:rFonts w:ascii="宋体" w:hAnsi="宋体"/>
              </w:rPr>
            </w:pPr>
          </w:p>
        </w:tc>
        <w:tc>
          <w:tcPr>
            <w:tcW w:w="2128" w:type="dxa"/>
            <w:vAlign w:val="center"/>
          </w:tcPr>
          <w:p>
            <w:pPr>
              <w:adjustRightInd w:val="0"/>
              <w:snapToGrid w:val="0"/>
              <w:spacing w:line="50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rPr>
            </w:pPr>
          </w:p>
        </w:tc>
        <w:tc>
          <w:tcPr>
            <w:tcW w:w="1276" w:type="dxa"/>
            <w:vAlign w:val="center"/>
          </w:tcPr>
          <w:p>
            <w:pPr>
              <w:adjustRightInd w:val="0"/>
              <w:snapToGrid w:val="0"/>
              <w:spacing w:line="500" w:lineRule="atLeast"/>
              <w:jc w:val="center"/>
              <w:rPr>
                <w:rFonts w:ascii="宋体" w:hAnsi="宋体"/>
              </w:rPr>
            </w:pPr>
          </w:p>
        </w:tc>
        <w:tc>
          <w:tcPr>
            <w:tcW w:w="2410" w:type="dxa"/>
            <w:vAlign w:val="center"/>
          </w:tcPr>
          <w:p>
            <w:pPr>
              <w:adjustRightInd w:val="0"/>
              <w:snapToGrid w:val="0"/>
              <w:spacing w:line="500" w:lineRule="atLeast"/>
              <w:jc w:val="center"/>
              <w:rPr>
                <w:rFonts w:ascii="宋体" w:hAnsi="宋体"/>
              </w:rPr>
            </w:pPr>
          </w:p>
        </w:tc>
        <w:tc>
          <w:tcPr>
            <w:tcW w:w="2693" w:type="dxa"/>
            <w:vAlign w:val="center"/>
          </w:tcPr>
          <w:p>
            <w:pPr>
              <w:adjustRightInd w:val="0"/>
              <w:snapToGrid w:val="0"/>
              <w:spacing w:line="500" w:lineRule="atLeast"/>
              <w:jc w:val="center"/>
              <w:rPr>
                <w:rFonts w:ascii="宋体" w:hAnsi="宋体"/>
              </w:rPr>
            </w:pPr>
          </w:p>
        </w:tc>
        <w:tc>
          <w:tcPr>
            <w:tcW w:w="2128" w:type="dxa"/>
            <w:vAlign w:val="center"/>
          </w:tcPr>
          <w:p>
            <w:pPr>
              <w:adjustRightInd w:val="0"/>
              <w:snapToGrid w:val="0"/>
              <w:spacing w:line="50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rPr>
            </w:pPr>
          </w:p>
        </w:tc>
        <w:tc>
          <w:tcPr>
            <w:tcW w:w="1276" w:type="dxa"/>
            <w:vAlign w:val="center"/>
          </w:tcPr>
          <w:p>
            <w:pPr>
              <w:adjustRightInd w:val="0"/>
              <w:snapToGrid w:val="0"/>
              <w:spacing w:line="500" w:lineRule="atLeast"/>
              <w:jc w:val="center"/>
              <w:rPr>
                <w:rFonts w:ascii="宋体" w:hAnsi="宋体"/>
              </w:rPr>
            </w:pPr>
          </w:p>
        </w:tc>
        <w:tc>
          <w:tcPr>
            <w:tcW w:w="2410" w:type="dxa"/>
            <w:vAlign w:val="center"/>
          </w:tcPr>
          <w:p>
            <w:pPr>
              <w:adjustRightInd w:val="0"/>
              <w:snapToGrid w:val="0"/>
              <w:spacing w:line="500" w:lineRule="atLeast"/>
              <w:jc w:val="center"/>
              <w:rPr>
                <w:rFonts w:ascii="宋体" w:hAnsi="宋体"/>
              </w:rPr>
            </w:pPr>
          </w:p>
        </w:tc>
        <w:tc>
          <w:tcPr>
            <w:tcW w:w="2693" w:type="dxa"/>
            <w:vAlign w:val="center"/>
          </w:tcPr>
          <w:p>
            <w:pPr>
              <w:adjustRightInd w:val="0"/>
              <w:snapToGrid w:val="0"/>
              <w:spacing w:line="500" w:lineRule="atLeast"/>
              <w:jc w:val="center"/>
              <w:rPr>
                <w:rFonts w:ascii="宋体" w:hAnsi="宋体"/>
              </w:rPr>
            </w:pPr>
          </w:p>
        </w:tc>
        <w:tc>
          <w:tcPr>
            <w:tcW w:w="2128" w:type="dxa"/>
            <w:vAlign w:val="center"/>
          </w:tcPr>
          <w:p>
            <w:pPr>
              <w:adjustRightInd w:val="0"/>
              <w:snapToGrid w:val="0"/>
              <w:spacing w:line="50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rPr>
            </w:pPr>
          </w:p>
        </w:tc>
        <w:tc>
          <w:tcPr>
            <w:tcW w:w="1276" w:type="dxa"/>
            <w:vAlign w:val="center"/>
          </w:tcPr>
          <w:p>
            <w:pPr>
              <w:adjustRightInd w:val="0"/>
              <w:snapToGrid w:val="0"/>
              <w:spacing w:line="500" w:lineRule="atLeast"/>
              <w:jc w:val="center"/>
              <w:rPr>
                <w:rFonts w:ascii="宋体" w:hAnsi="宋体"/>
              </w:rPr>
            </w:pPr>
          </w:p>
        </w:tc>
        <w:tc>
          <w:tcPr>
            <w:tcW w:w="2410" w:type="dxa"/>
            <w:vAlign w:val="center"/>
          </w:tcPr>
          <w:p>
            <w:pPr>
              <w:adjustRightInd w:val="0"/>
              <w:snapToGrid w:val="0"/>
              <w:spacing w:line="500" w:lineRule="atLeast"/>
              <w:jc w:val="center"/>
              <w:rPr>
                <w:rFonts w:ascii="宋体" w:hAnsi="宋体"/>
              </w:rPr>
            </w:pPr>
          </w:p>
        </w:tc>
        <w:tc>
          <w:tcPr>
            <w:tcW w:w="2693" w:type="dxa"/>
            <w:vAlign w:val="center"/>
          </w:tcPr>
          <w:p>
            <w:pPr>
              <w:adjustRightInd w:val="0"/>
              <w:snapToGrid w:val="0"/>
              <w:spacing w:line="500" w:lineRule="atLeast"/>
              <w:jc w:val="center"/>
              <w:rPr>
                <w:rFonts w:ascii="宋体" w:hAnsi="宋体"/>
              </w:rPr>
            </w:pPr>
          </w:p>
        </w:tc>
        <w:tc>
          <w:tcPr>
            <w:tcW w:w="2128" w:type="dxa"/>
            <w:vAlign w:val="center"/>
          </w:tcPr>
          <w:p>
            <w:pPr>
              <w:adjustRightInd w:val="0"/>
              <w:snapToGrid w:val="0"/>
              <w:spacing w:line="50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rPr>
            </w:pPr>
          </w:p>
        </w:tc>
        <w:tc>
          <w:tcPr>
            <w:tcW w:w="1276" w:type="dxa"/>
            <w:vAlign w:val="center"/>
          </w:tcPr>
          <w:p>
            <w:pPr>
              <w:adjustRightInd w:val="0"/>
              <w:snapToGrid w:val="0"/>
              <w:spacing w:line="500" w:lineRule="atLeast"/>
              <w:jc w:val="center"/>
              <w:rPr>
                <w:rFonts w:ascii="宋体" w:hAnsi="宋体"/>
              </w:rPr>
            </w:pPr>
          </w:p>
        </w:tc>
        <w:tc>
          <w:tcPr>
            <w:tcW w:w="2410" w:type="dxa"/>
            <w:vAlign w:val="center"/>
          </w:tcPr>
          <w:p>
            <w:pPr>
              <w:adjustRightInd w:val="0"/>
              <w:snapToGrid w:val="0"/>
              <w:spacing w:line="500" w:lineRule="atLeast"/>
              <w:jc w:val="center"/>
              <w:rPr>
                <w:rFonts w:ascii="宋体" w:hAnsi="宋体"/>
              </w:rPr>
            </w:pPr>
          </w:p>
        </w:tc>
        <w:tc>
          <w:tcPr>
            <w:tcW w:w="2693" w:type="dxa"/>
            <w:vAlign w:val="center"/>
          </w:tcPr>
          <w:p>
            <w:pPr>
              <w:adjustRightInd w:val="0"/>
              <w:snapToGrid w:val="0"/>
              <w:spacing w:line="500" w:lineRule="atLeast"/>
              <w:jc w:val="center"/>
              <w:rPr>
                <w:rFonts w:ascii="宋体" w:hAnsi="宋体"/>
              </w:rPr>
            </w:pPr>
          </w:p>
        </w:tc>
        <w:tc>
          <w:tcPr>
            <w:tcW w:w="2128" w:type="dxa"/>
            <w:vAlign w:val="center"/>
          </w:tcPr>
          <w:p>
            <w:pPr>
              <w:adjustRightInd w:val="0"/>
              <w:snapToGrid w:val="0"/>
              <w:spacing w:line="50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rPr>
            </w:pPr>
          </w:p>
        </w:tc>
        <w:tc>
          <w:tcPr>
            <w:tcW w:w="1276" w:type="dxa"/>
            <w:vAlign w:val="center"/>
          </w:tcPr>
          <w:p>
            <w:pPr>
              <w:adjustRightInd w:val="0"/>
              <w:snapToGrid w:val="0"/>
              <w:spacing w:line="500" w:lineRule="atLeast"/>
              <w:jc w:val="center"/>
              <w:rPr>
                <w:rFonts w:ascii="宋体" w:hAnsi="宋体"/>
              </w:rPr>
            </w:pPr>
          </w:p>
        </w:tc>
        <w:tc>
          <w:tcPr>
            <w:tcW w:w="2410" w:type="dxa"/>
            <w:vAlign w:val="center"/>
          </w:tcPr>
          <w:p>
            <w:pPr>
              <w:adjustRightInd w:val="0"/>
              <w:snapToGrid w:val="0"/>
              <w:spacing w:line="500" w:lineRule="atLeast"/>
              <w:jc w:val="center"/>
              <w:rPr>
                <w:rFonts w:ascii="宋体" w:hAnsi="宋体"/>
              </w:rPr>
            </w:pPr>
          </w:p>
        </w:tc>
        <w:tc>
          <w:tcPr>
            <w:tcW w:w="2693" w:type="dxa"/>
            <w:vAlign w:val="center"/>
          </w:tcPr>
          <w:p>
            <w:pPr>
              <w:adjustRightInd w:val="0"/>
              <w:snapToGrid w:val="0"/>
              <w:spacing w:line="500" w:lineRule="atLeast"/>
              <w:jc w:val="center"/>
              <w:rPr>
                <w:rFonts w:ascii="宋体" w:hAnsi="宋体"/>
              </w:rPr>
            </w:pPr>
          </w:p>
        </w:tc>
        <w:tc>
          <w:tcPr>
            <w:tcW w:w="2128" w:type="dxa"/>
            <w:vAlign w:val="center"/>
          </w:tcPr>
          <w:p>
            <w:pPr>
              <w:adjustRightInd w:val="0"/>
              <w:snapToGrid w:val="0"/>
              <w:spacing w:line="50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rPr>
            </w:pPr>
          </w:p>
        </w:tc>
        <w:tc>
          <w:tcPr>
            <w:tcW w:w="1276" w:type="dxa"/>
            <w:vAlign w:val="center"/>
          </w:tcPr>
          <w:p>
            <w:pPr>
              <w:adjustRightInd w:val="0"/>
              <w:snapToGrid w:val="0"/>
              <w:spacing w:line="500" w:lineRule="atLeast"/>
              <w:jc w:val="center"/>
              <w:rPr>
                <w:rFonts w:ascii="宋体" w:hAnsi="宋体"/>
              </w:rPr>
            </w:pPr>
          </w:p>
        </w:tc>
        <w:tc>
          <w:tcPr>
            <w:tcW w:w="2410" w:type="dxa"/>
            <w:vAlign w:val="center"/>
          </w:tcPr>
          <w:p>
            <w:pPr>
              <w:adjustRightInd w:val="0"/>
              <w:snapToGrid w:val="0"/>
              <w:spacing w:line="500" w:lineRule="atLeast"/>
              <w:jc w:val="center"/>
              <w:rPr>
                <w:rFonts w:ascii="宋体" w:hAnsi="宋体"/>
              </w:rPr>
            </w:pPr>
          </w:p>
        </w:tc>
        <w:tc>
          <w:tcPr>
            <w:tcW w:w="2693" w:type="dxa"/>
            <w:vAlign w:val="center"/>
          </w:tcPr>
          <w:p>
            <w:pPr>
              <w:adjustRightInd w:val="0"/>
              <w:snapToGrid w:val="0"/>
              <w:spacing w:line="500" w:lineRule="atLeast"/>
              <w:jc w:val="center"/>
              <w:rPr>
                <w:rFonts w:ascii="宋体" w:hAnsi="宋体"/>
              </w:rPr>
            </w:pPr>
          </w:p>
        </w:tc>
        <w:tc>
          <w:tcPr>
            <w:tcW w:w="2128" w:type="dxa"/>
            <w:vAlign w:val="center"/>
          </w:tcPr>
          <w:p>
            <w:pPr>
              <w:adjustRightInd w:val="0"/>
              <w:snapToGrid w:val="0"/>
              <w:spacing w:line="50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adjustRightInd w:val="0"/>
              <w:snapToGrid w:val="0"/>
              <w:spacing w:line="500" w:lineRule="atLeast"/>
              <w:jc w:val="center"/>
              <w:rPr>
                <w:rFonts w:ascii="宋体" w:hAnsi="宋体"/>
              </w:rPr>
            </w:pPr>
          </w:p>
        </w:tc>
        <w:tc>
          <w:tcPr>
            <w:tcW w:w="1276" w:type="dxa"/>
            <w:vAlign w:val="center"/>
          </w:tcPr>
          <w:p>
            <w:pPr>
              <w:adjustRightInd w:val="0"/>
              <w:snapToGrid w:val="0"/>
              <w:spacing w:line="500" w:lineRule="atLeast"/>
              <w:jc w:val="center"/>
              <w:rPr>
                <w:rFonts w:ascii="宋体" w:hAnsi="宋体"/>
              </w:rPr>
            </w:pPr>
          </w:p>
        </w:tc>
        <w:tc>
          <w:tcPr>
            <w:tcW w:w="2410" w:type="dxa"/>
            <w:vAlign w:val="center"/>
          </w:tcPr>
          <w:p>
            <w:pPr>
              <w:adjustRightInd w:val="0"/>
              <w:snapToGrid w:val="0"/>
              <w:spacing w:line="500" w:lineRule="atLeast"/>
              <w:jc w:val="center"/>
              <w:rPr>
                <w:rFonts w:ascii="宋体" w:hAnsi="宋体"/>
              </w:rPr>
            </w:pPr>
          </w:p>
        </w:tc>
        <w:tc>
          <w:tcPr>
            <w:tcW w:w="2693" w:type="dxa"/>
            <w:vAlign w:val="center"/>
          </w:tcPr>
          <w:p>
            <w:pPr>
              <w:adjustRightInd w:val="0"/>
              <w:snapToGrid w:val="0"/>
              <w:spacing w:line="500" w:lineRule="atLeast"/>
              <w:jc w:val="center"/>
              <w:rPr>
                <w:rFonts w:ascii="宋体" w:hAnsi="宋体"/>
              </w:rPr>
            </w:pPr>
          </w:p>
        </w:tc>
        <w:tc>
          <w:tcPr>
            <w:tcW w:w="2128" w:type="dxa"/>
            <w:vAlign w:val="center"/>
          </w:tcPr>
          <w:p>
            <w:pPr>
              <w:adjustRightInd w:val="0"/>
              <w:snapToGrid w:val="0"/>
              <w:spacing w:line="500" w:lineRule="atLeast"/>
              <w:jc w:val="center"/>
              <w:rPr>
                <w:rFonts w:ascii="宋体" w:hAnsi="宋体"/>
              </w:rPr>
            </w:pPr>
          </w:p>
        </w:tc>
      </w:tr>
    </w:tbl>
    <w:p>
      <w:pPr>
        <w:adjustRightInd w:val="0"/>
        <w:snapToGrid w:val="0"/>
        <w:spacing w:line="500" w:lineRule="atLeast"/>
        <w:rPr>
          <w:rFonts w:ascii="宋体" w:hAnsi="宋体"/>
          <w:sz w:val="24"/>
        </w:rPr>
      </w:pPr>
    </w:p>
    <w:p>
      <w:pPr>
        <w:adjustRightInd w:val="0"/>
        <w:snapToGrid w:val="0"/>
        <w:spacing w:line="500" w:lineRule="atLeast"/>
        <w:rPr>
          <w:rFonts w:ascii="宋体" w:hAnsi="宋体"/>
          <w:sz w:val="24"/>
        </w:rPr>
      </w:pPr>
      <w:r>
        <w:rPr>
          <w:rFonts w:ascii="宋体" w:hAnsi="宋体"/>
          <w:sz w:val="24"/>
        </w:rPr>
        <w:t>投标方：（盖</w:t>
      </w:r>
      <w:r>
        <w:rPr>
          <w:rFonts w:hint="eastAsia" w:ascii="宋体" w:hAnsi="宋体"/>
          <w:sz w:val="24"/>
        </w:rPr>
        <w:t>公</w:t>
      </w:r>
      <w:r>
        <w:rPr>
          <w:rFonts w:ascii="宋体" w:hAnsi="宋体"/>
          <w:sz w:val="24"/>
        </w:rPr>
        <w:t>章）</w:t>
      </w:r>
    </w:p>
    <w:p>
      <w:pPr>
        <w:adjustRightInd w:val="0"/>
        <w:snapToGrid w:val="0"/>
        <w:spacing w:line="500" w:lineRule="atLeast"/>
        <w:rPr>
          <w:rFonts w:ascii="宋体" w:hAnsi="宋体"/>
          <w:sz w:val="24"/>
        </w:rPr>
      </w:pPr>
      <w:r>
        <w:rPr>
          <w:rFonts w:ascii="宋体" w:hAnsi="宋体"/>
          <w:sz w:val="24"/>
        </w:rPr>
        <w:t>法定代表人或其授权代表：（签字）</w:t>
      </w:r>
    </w:p>
    <w:p>
      <w:pPr>
        <w:adjustRightInd w:val="0"/>
        <w:snapToGrid w:val="0"/>
        <w:spacing w:line="500" w:lineRule="atLeast"/>
        <w:ind w:firstLine="6240" w:firstLineChars="2600"/>
        <w:rPr>
          <w:rFonts w:ascii="宋体" w:hAnsi="宋体"/>
          <w:sz w:val="24"/>
        </w:rPr>
      </w:pPr>
      <w:r>
        <w:rPr>
          <w:rFonts w:ascii="宋体" w:hAnsi="宋体"/>
          <w:sz w:val="24"/>
        </w:rPr>
        <w:t>年   月   日</w:t>
      </w:r>
    </w:p>
    <w:p>
      <w:pPr>
        <w:adjustRightInd w:val="0"/>
        <w:snapToGrid w:val="0"/>
        <w:spacing w:line="500" w:lineRule="atLeast"/>
        <w:rPr>
          <w:rFonts w:ascii="宋体" w:hAnsi="宋体"/>
        </w:rPr>
      </w:pPr>
    </w:p>
    <w:p>
      <w:pPr>
        <w:adjustRightInd w:val="0"/>
        <w:snapToGrid w:val="0"/>
        <w:spacing w:line="500" w:lineRule="atLeast"/>
        <w:rPr>
          <w:rFonts w:ascii="宋体" w:hAnsi="宋体"/>
        </w:rPr>
      </w:pPr>
    </w:p>
    <w:p>
      <w:pPr>
        <w:adjustRightInd w:val="0"/>
        <w:snapToGrid w:val="0"/>
        <w:spacing w:line="500" w:lineRule="atLeast"/>
        <w:rPr>
          <w:rFonts w:ascii="宋体" w:hAnsi="宋体"/>
        </w:rPr>
      </w:pPr>
    </w:p>
    <w:p>
      <w:pPr>
        <w:adjustRightInd w:val="0"/>
        <w:snapToGrid w:val="0"/>
        <w:spacing w:line="500" w:lineRule="atLeast"/>
        <w:rPr>
          <w:rFonts w:ascii="宋体" w:hAnsi="宋体"/>
          <w:b/>
          <w:sz w:val="32"/>
          <w:szCs w:val="32"/>
        </w:rPr>
      </w:pPr>
    </w:p>
    <w:p>
      <w:pPr>
        <w:pStyle w:val="9"/>
        <w:ind w:firstLine="0" w:firstLineChars="0"/>
        <w:rPr>
          <w:rFonts w:ascii="宋体" w:hAnsi="宋体" w:cs="宋体"/>
          <w:color w:val="0000FF"/>
          <w:kern w:val="0"/>
          <w:sz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329979"/>
      <w:docPartObj>
        <w:docPartGallery w:val="autotext"/>
      </w:docPartObj>
    </w:sdtPr>
    <w:sdtContent>
      <w:p>
        <w:pPr>
          <w:pStyle w:val="12"/>
          <w:jc w:val="center"/>
        </w:pPr>
        <w:r>
          <w:fldChar w:fldCharType="begin"/>
        </w:r>
        <w:r>
          <w:instrText xml:space="preserve">PAGE   \* MERGEFORMAT</w:instrText>
        </w:r>
        <w:r>
          <w:fldChar w:fldCharType="separate"/>
        </w:r>
        <w:r>
          <w:rPr>
            <w:lang w:val="zh-CN"/>
          </w:rPr>
          <w:t>17</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8A1D5"/>
    <w:multiLevelType w:val="singleLevel"/>
    <w:tmpl w:val="8998A1D5"/>
    <w:lvl w:ilvl="0" w:tentative="0">
      <w:start w:val="12"/>
      <w:numFmt w:val="decimal"/>
      <w:suff w:val="nothing"/>
      <w:lvlText w:val="%1）"/>
      <w:lvlJc w:val="left"/>
    </w:lvl>
  </w:abstractNum>
  <w:abstractNum w:abstractNumId="1">
    <w:nsid w:val="C542ACF7"/>
    <w:multiLevelType w:val="singleLevel"/>
    <w:tmpl w:val="C542ACF7"/>
    <w:lvl w:ilvl="0" w:tentative="0">
      <w:start w:val="1"/>
      <w:numFmt w:val="decimal"/>
      <w:suff w:val="nothing"/>
      <w:lvlText w:val="%1、"/>
      <w:lvlJc w:val="left"/>
    </w:lvl>
  </w:abstractNum>
  <w:abstractNum w:abstractNumId="2">
    <w:nsid w:val="03B67F5E"/>
    <w:multiLevelType w:val="multilevel"/>
    <w:tmpl w:val="03B67F5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41C51C7"/>
    <w:multiLevelType w:val="multilevel"/>
    <w:tmpl w:val="041C51C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70569EB"/>
    <w:multiLevelType w:val="multilevel"/>
    <w:tmpl w:val="070569E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7A62233"/>
    <w:multiLevelType w:val="multilevel"/>
    <w:tmpl w:val="07A62233"/>
    <w:lvl w:ilvl="0" w:tentative="0">
      <w:start w:val="1"/>
      <w:numFmt w:val="decimal"/>
      <w:lvlText w:val="%1)"/>
      <w:lvlJc w:val="left"/>
      <w:pPr>
        <w:ind w:left="900" w:hanging="420"/>
      </w:pPr>
      <w:rPr>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F433ACB"/>
    <w:multiLevelType w:val="multilevel"/>
    <w:tmpl w:val="0F433ACB"/>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14D720AC"/>
    <w:multiLevelType w:val="multilevel"/>
    <w:tmpl w:val="14D720A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96621D4"/>
    <w:multiLevelType w:val="multilevel"/>
    <w:tmpl w:val="196621D4"/>
    <w:lvl w:ilvl="0" w:tentative="0">
      <w:start w:val="1"/>
      <w:numFmt w:val="decimal"/>
      <w:lvlText w:val="%1）"/>
      <w:lvlJc w:val="left"/>
      <w:pPr>
        <w:ind w:left="840"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23EE2756"/>
    <w:multiLevelType w:val="multilevel"/>
    <w:tmpl w:val="23EE275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055727C"/>
    <w:multiLevelType w:val="multilevel"/>
    <w:tmpl w:val="3055727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A23093C"/>
    <w:multiLevelType w:val="multilevel"/>
    <w:tmpl w:val="3A23093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FA60C21"/>
    <w:multiLevelType w:val="multilevel"/>
    <w:tmpl w:val="3FA60C2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08B6389"/>
    <w:multiLevelType w:val="multilevel"/>
    <w:tmpl w:val="408B638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C1756A7"/>
    <w:multiLevelType w:val="multilevel"/>
    <w:tmpl w:val="4C1756A7"/>
    <w:lvl w:ilvl="0" w:tentative="0">
      <w:start w:val="1"/>
      <w:numFmt w:val="decimal"/>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5">
    <w:nsid w:val="55F26427"/>
    <w:multiLevelType w:val="multilevel"/>
    <w:tmpl w:val="55F2642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59F83BBD"/>
    <w:multiLevelType w:val="multilevel"/>
    <w:tmpl w:val="59F83BB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B267AEB"/>
    <w:multiLevelType w:val="multilevel"/>
    <w:tmpl w:val="5B267AEB"/>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CFA3209"/>
    <w:multiLevelType w:val="multilevel"/>
    <w:tmpl w:val="5CFA320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FE650D2"/>
    <w:multiLevelType w:val="multilevel"/>
    <w:tmpl w:val="5FE650D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2D25BC1"/>
    <w:multiLevelType w:val="multilevel"/>
    <w:tmpl w:val="62D25BC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3422E59"/>
    <w:multiLevelType w:val="multilevel"/>
    <w:tmpl w:val="63422E5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AD65F1F"/>
    <w:multiLevelType w:val="multilevel"/>
    <w:tmpl w:val="6AD65F1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E7970B9"/>
    <w:multiLevelType w:val="multilevel"/>
    <w:tmpl w:val="6E7970B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72D0F909"/>
    <w:multiLevelType w:val="singleLevel"/>
    <w:tmpl w:val="72D0F909"/>
    <w:lvl w:ilvl="0" w:tentative="0">
      <w:start w:val="1"/>
      <w:numFmt w:val="decimal"/>
      <w:suff w:val="space"/>
      <w:lvlText w:val="%1."/>
      <w:lvlJc w:val="left"/>
    </w:lvl>
  </w:abstractNum>
  <w:num w:numId="1">
    <w:abstractNumId w:val="6"/>
  </w:num>
  <w:num w:numId="2">
    <w:abstractNumId w:val="1"/>
  </w:num>
  <w:num w:numId="3">
    <w:abstractNumId w:val="7"/>
  </w:num>
  <w:num w:numId="4">
    <w:abstractNumId w:val="0"/>
  </w:num>
  <w:num w:numId="5">
    <w:abstractNumId w:val="15"/>
  </w:num>
  <w:num w:numId="6">
    <w:abstractNumId w:val="21"/>
  </w:num>
  <w:num w:numId="7">
    <w:abstractNumId w:val="8"/>
  </w:num>
  <w:num w:numId="8">
    <w:abstractNumId w:val="11"/>
  </w:num>
  <w:num w:numId="9">
    <w:abstractNumId w:val="10"/>
  </w:num>
  <w:num w:numId="10">
    <w:abstractNumId w:val="3"/>
  </w:num>
  <w:num w:numId="11">
    <w:abstractNumId w:val="9"/>
  </w:num>
  <w:num w:numId="12">
    <w:abstractNumId w:val="14"/>
  </w:num>
  <w:num w:numId="13">
    <w:abstractNumId w:val="5"/>
  </w:num>
  <w:num w:numId="14">
    <w:abstractNumId w:val="20"/>
  </w:num>
  <w:num w:numId="15">
    <w:abstractNumId w:val="22"/>
  </w:num>
  <w:num w:numId="16">
    <w:abstractNumId w:val="23"/>
  </w:num>
  <w:num w:numId="17">
    <w:abstractNumId w:val="16"/>
  </w:num>
  <w:num w:numId="18">
    <w:abstractNumId w:val="19"/>
  </w:num>
  <w:num w:numId="19">
    <w:abstractNumId w:val="4"/>
  </w:num>
  <w:num w:numId="20">
    <w:abstractNumId w:val="2"/>
  </w:num>
  <w:num w:numId="21">
    <w:abstractNumId w:val="12"/>
  </w:num>
  <w:num w:numId="22">
    <w:abstractNumId w:val="18"/>
  </w:num>
  <w:num w:numId="23">
    <w:abstractNumId w:val="13"/>
  </w:num>
  <w:num w:numId="24">
    <w:abstractNumId w:val="17"/>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yMzhmNjdiN2E3ZDgzYjk2MDFlYTE3OGUwYjg5M2MifQ=="/>
  </w:docVars>
  <w:rsids>
    <w:rsidRoot w:val="57047B96"/>
    <w:rsid w:val="00026CB2"/>
    <w:rsid w:val="00073E1E"/>
    <w:rsid w:val="00094F0F"/>
    <w:rsid w:val="000D250F"/>
    <w:rsid w:val="00102B6D"/>
    <w:rsid w:val="001262AE"/>
    <w:rsid w:val="00135FBD"/>
    <w:rsid w:val="0015128F"/>
    <w:rsid w:val="00154C79"/>
    <w:rsid w:val="00173F00"/>
    <w:rsid w:val="00184CF7"/>
    <w:rsid w:val="00193DF3"/>
    <w:rsid w:val="001F2240"/>
    <w:rsid w:val="00274F09"/>
    <w:rsid w:val="002A22AD"/>
    <w:rsid w:val="002A6585"/>
    <w:rsid w:val="002F7E17"/>
    <w:rsid w:val="00325F01"/>
    <w:rsid w:val="00331B21"/>
    <w:rsid w:val="00363790"/>
    <w:rsid w:val="00363A2E"/>
    <w:rsid w:val="00391036"/>
    <w:rsid w:val="00395EE2"/>
    <w:rsid w:val="003C09F3"/>
    <w:rsid w:val="003D1B58"/>
    <w:rsid w:val="004323AA"/>
    <w:rsid w:val="00455126"/>
    <w:rsid w:val="0046001E"/>
    <w:rsid w:val="00473D5B"/>
    <w:rsid w:val="0053245F"/>
    <w:rsid w:val="00533406"/>
    <w:rsid w:val="0059761C"/>
    <w:rsid w:val="005A7B1A"/>
    <w:rsid w:val="005D013A"/>
    <w:rsid w:val="005D3801"/>
    <w:rsid w:val="005E55EC"/>
    <w:rsid w:val="00604E71"/>
    <w:rsid w:val="006671BE"/>
    <w:rsid w:val="007625D0"/>
    <w:rsid w:val="00787478"/>
    <w:rsid w:val="007F2FAC"/>
    <w:rsid w:val="007F55F6"/>
    <w:rsid w:val="009258A7"/>
    <w:rsid w:val="009B25F9"/>
    <w:rsid w:val="009C70DE"/>
    <w:rsid w:val="00A00B63"/>
    <w:rsid w:val="00A06010"/>
    <w:rsid w:val="00A25503"/>
    <w:rsid w:val="00A35EDF"/>
    <w:rsid w:val="00A447E3"/>
    <w:rsid w:val="00A74794"/>
    <w:rsid w:val="00A9783D"/>
    <w:rsid w:val="00AA22CD"/>
    <w:rsid w:val="00AE3431"/>
    <w:rsid w:val="00AF525C"/>
    <w:rsid w:val="00BB0AB1"/>
    <w:rsid w:val="00C27B4C"/>
    <w:rsid w:val="00C36337"/>
    <w:rsid w:val="00CB28A6"/>
    <w:rsid w:val="00CC1984"/>
    <w:rsid w:val="00CD1357"/>
    <w:rsid w:val="00CF0B31"/>
    <w:rsid w:val="00D460F5"/>
    <w:rsid w:val="00D873C5"/>
    <w:rsid w:val="00DB44B6"/>
    <w:rsid w:val="00DD52D3"/>
    <w:rsid w:val="00E36E08"/>
    <w:rsid w:val="00E83712"/>
    <w:rsid w:val="00EE3DD9"/>
    <w:rsid w:val="00EF22B0"/>
    <w:rsid w:val="00F01807"/>
    <w:rsid w:val="00F07284"/>
    <w:rsid w:val="00F4219B"/>
    <w:rsid w:val="022B3327"/>
    <w:rsid w:val="028E13EB"/>
    <w:rsid w:val="040354C1"/>
    <w:rsid w:val="053B29DC"/>
    <w:rsid w:val="05613A77"/>
    <w:rsid w:val="05776166"/>
    <w:rsid w:val="059960DD"/>
    <w:rsid w:val="05CA098C"/>
    <w:rsid w:val="060A70A7"/>
    <w:rsid w:val="060F0489"/>
    <w:rsid w:val="08752E31"/>
    <w:rsid w:val="095D7F5D"/>
    <w:rsid w:val="0A5E16A3"/>
    <w:rsid w:val="0B2322FB"/>
    <w:rsid w:val="0B754EF6"/>
    <w:rsid w:val="0B902DCD"/>
    <w:rsid w:val="0BED08A0"/>
    <w:rsid w:val="0CF62067"/>
    <w:rsid w:val="0D2B64A6"/>
    <w:rsid w:val="0EFE7D21"/>
    <w:rsid w:val="0FCA336A"/>
    <w:rsid w:val="12045658"/>
    <w:rsid w:val="123A29F6"/>
    <w:rsid w:val="12824B64"/>
    <w:rsid w:val="12C93880"/>
    <w:rsid w:val="134E19A1"/>
    <w:rsid w:val="154C4F1A"/>
    <w:rsid w:val="15C61E90"/>
    <w:rsid w:val="16C71D1A"/>
    <w:rsid w:val="16CB6DBD"/>
    <w:rsid w:val="174C1201"/>
    <w:rsid w:val="18117D55"/>
    <w:rsid w:val="183A54FD"/>
    <w:rsid w:val="1941466A"/>
    <w:rsid w:val="19B337B9"/>
    <w:rsid w:val="1AF71484"/>
    <w:rsid w:val="1CBF1ADE"/>
    <w:rsid w:val="1D884F5D"/>
    <w:rsid w:val="1E5C3A6D"/>
    <w:rsid w:val="1E7A2AF8"/>
    <w:rsid w:val="1EA23DFC"/>
    <w:rsid w:val="1EDD641E"/>
    <w:rsid w:val="1F460C2C"/>
    <w:rsid w:val="1F4F0622"/>
    <w:rsid w:val="1FC57DA2"/>
    <w:rsid w:val="208E4638"/>
    <w:rsid w:val="21AE1964"/>
    <w:rsid w:val="22B365D8"/>
    <w:rsid w:val="23787A17"/>
    <w:rsid w:val="247B4ED4"/>
    <w:rsid w:val="27271343"/>
    <w:rsid w:val="275639D6"/>
    <w:rsid w:val="28013942"/>
    <w:rsid w:val="281B5707"/>
    <w:rsid w:val="2B104B2B"/>
    <w:rsid w:val="2BC90C1A"/>
    <w:rsid w:val="2C736DD8"/>
    <w:rsid w:val="2D2F71A3"/>
    <w:rsid w:val="2DE81100"/>
    <w:rsid w:val="2E1C2578"/>
    <w:rsid w:val="2F3949EC"/>
    <w:rsid w:val="301601A6"/>
    <w:rsid w:val="30234671"/>
    <w:rsid w:val="315C608D"/>
    <w:rsid w:val="32D0288E"/>
    <w:rsid w:val="33E81E5A"/>
    <w:rsid w:val="34480B4A"/>
    <w:rsid w:val="349879D5"/>
    <w:rsid w:val="34CC3529"/>
    <w:rsid w:val="357F059C"/>
    <w:rsid w:val="37102262"/>
    <w:rsid w:val="374A4AE8"/>
    <w:rsid w:val="38314146"/>
    <w:rsid w:val="386C12AB"/>
    <w:rsid w:val="3AD95E00"/>
    <w:rsid w:val="3BD93107"/>
    <w:rsid w:val="3BE70C49"/>
    <w:rsid w:val="3C5462DE"/>
    <w:rsid w:val="3CC92CF3"/>
    <w:rsid w:val="3D5552E3"/>
    <w:rsid w:val="3D8E75CE"/>
    <w:rsid w:val="3F285C7B"/>
    <w:rsid w:val="3FF676AC"/>
    <w:rsid w:val="407A652F"/>
    <w:rsid w:val="40D75730"/>
    <w:rsid w:val="414E55D4"/>
    <w:rsid w:val="41DD2645"/>
    <w:rsid w:val="41E06866"/>
    <w:rsid w:val="428B464C"/>
    <w:rsid w:val="44352E99"/>
    <w:rsid w:val="443C4228"/>
    <w:rsid w:val="45AF695B"/>
    <w:rsid w:val="46800DB3"/>
    <w:rsid w:val="46A75BA4"/>
    <w:rsid w:val="470D1EAB"/>
    <w:rsid w:val="471843AC"/>
    <w:rsid w:val="476475F1"/>
    <w:rsid w:val="480908C5"/>
    <w:rsid w:val="48673502"/>
    <w:rsid w:val="48934632"/>
    <w:rsid w:val="49267254"/>
    <w:rsid w:val="4AAC5537"/>
    <w:rsid w:val="4AE27FE9"/>
    <w:rsid w:val="4B0951B5"/>
    <w:rsid w:val="4B7431DA"/>
    <w:rsid w:val="4C815E70"/>
    <w:rsid w:val="4CA53523"/>
    <w:rsid w:val="4CD13F80"/>
    <w:rsid w:val="4D063625"/>
    <w:rsid w:val="4DCD5EF0"/>
    <w:rsid w:val="4E092CA1"/>
    <w:rsid w:val="4F0A6D1C"/>
    <w:rsid w:val="4F19773A"/>
    <w:rsid w:val="4F4421E2"/>
    <w:rsid w:val="4F6463E1"/>
    <w:rsid w:val="50F62142"/>
    <w:rsid w:val="51511FB7"/>
    <w:rsid w:val="51CE66DB"/>
    <w:rsid w:val="52535114"/>
    <w:rsid w:val="52DC1DD9"/>
    <w:rsid w:val="53095C1D"/>
    <w:rsid w:val="530D6D8F"/>
    <w:rsid w:val="538928BA"/>
    <w:rsid w:val="53D61877"/>
    <w:rsid w:val="53E85CD8"/>
    <w:rsid w:val="54C31DFB"/>
    <w:rsid w:val="55004DFD"/>
    <w:rsid w:val="5504625F"/>
    <w:rsid w:val="57047B96"/>
    <w:rsid w:val="59141E44"/>
    <w:rsid w:val="59710078"/>
    <w:rsid w:val="59F20A8D"/>
    <w:rsid w:val="5A135DC5"/>
    <w:rsid w:val="5AD308BE"/>
    <w:rsid w:val="5B2335F4"/>
    <w:rsid w:val="5B9444F1"/>
    <w:rsid w:val="5D042FB1"/>
    <w:rsid w:val="5D066A46"/>
    <w:rsid w:val="5DE21AA5"/>
    <w:rsid w:val="5E345B18"/>
    <w:rsid w:val="5F502D01"/>
    <w:rsid w:val="5FE13A7D"/>
    <w:rsid w:val="5FFE1F39"/>
    <w:rsid w:val="6019283F"/>
    <w:rsid w:val="61B2747F"/>
    <w:rsid w:val="626F35C2"/>
    <w:rsid w:val="62EA5FCC"/>
    <w:rsid w:val="633D721D"/>
    <w:rsid w:val="63864720"/>
    <w:rsid w:val="64A80777"/>
    <w:rsid w:val="650D1E16"/>
    <w:rsid w:val="6617503D"/>
    <w:rsid w:val="66240220"/>
    <w:rsid w:val="666A0329"/>
    <w:rsid w:val="68994EF5"/>
    <w:rsid w:val="68AF3F0D"/>
    <w:rsid w:val="68EF0FB9"/>
    <w:rsid w:val="695F63A7"/>
    <w:rsid w:val="6983502E"/>
    <w:rsid w:val="6A505A87"/>
    <w:rsid w:val="6ACF2E06"/>
    <w:rsid w:val="6B317667"/>
    <w:rsid w:val="6B647B3E"/>
    <w:rsid w:val="6C726189"/>
    <w:rsid w:val="6D567859"/>
    <w:rsid w:val="6DAF0D17"/>
    <w:rsid w:val="6DC75A36"/>
    <w:rsid w:val="6E34121C"/>
    <w:rsid w:val="6E9A5523"/>
    <w:rsid w:val="6F79782E"/>
    <w:rsid w:val="6F8166E3"/>
    <w:rsid w:val="70FD71AA"/>
    <w:rsid w:val="718129CA"/>
    <w:rsid w:val="72255A4C"/>
    <w:rsid w:val="723E538D"/>
    <w:rsid w:val="72411B99"/>
    <w:rsid w:val="72942D97"/>
    <w:rsid w:val="72CC236B"/>
    <w:rsid w:val="73183186"/>
    <w:rsid w:val="740F250F"/>
    <w:rsid w:val="751F6782"/>
    <w:rsid w:val="764861AD"/>
    <w:rsid w:val="76F31C74"/>
    <w:rsid w:val="774E334F"/>
    <w:rsid w:val="78A53442"/>
    <w:rsid w:val="799D05BD"/>
    <w:rsid w:val="7B5D6256"/>
    <w:rsid w:val="7BAA6127"/>
    <w:rsid w:val="7C3F3BAE"/>
    <w:rsid w:val="7C943EFA"/>
    <w:rsid w:val="7CA03538"/>
    <w:rsid w:val="7D533871"/>
    <w:rsid w:val="7D5D078F"/>
    <w:rsid w:val="7EC00FD6"/>
    <w:rsid w:val="7EE10E76"/>
    <w:rsid w:val="7F0569E9"/>
    <w:rsid w:val="7F4450B5"/>
    <w:rsid w:val="7FB11767"/>
    <w:rsid w:val="7FF1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Arial"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b/>
      <w:bCs/>
      <w:sz w:val="24"/>
      <w:szCs w:val="32"/>
    </w:rPr>
  </w:style>
  <w:style w:type="paragraph" w:styleId="4">
    <w:name w:val="heading 4"/>
    <w:basedOn w:val="1"/>
    <w:next w:val="1"/>
    <w:link w:val="2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22"/>
    <w:semiHidden/>
    <w:unhideWhenUsed/>
    <w:qFormat/>
    <w:uiPriority w:val="0"/>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rPr>
      <w:rFonts w:ascii="Times New Roman" w:hAnsi="Times New Roman" w:eastAsia="宋体"/>
      <w:szCs w:val="20"/>
    </w:rPr>
  </w:style>
  <w:style w:type="paragraph" w:styleId="9">
    <w:name w:val="Body Text First Indent"/>
    <w:basedOn w:val="8"/>
    <w:qFormat/>
    <w:uiPriority w:val="0"/>
    <w:pPr>
      <w:ind w:firstLine="420" w:firstLineChars="100"/>
    </w:pPr>
    <w:rPr>
      <w:szCs w:val="24"/>
    </w:rPr>
  </w:style>
  <w:style w:type="paragraph" w:styleId="10">
    <w:name w:val="Body Text Indent"/>
    <w:basedOn w:val="1"/>
    <w:unhideWhenUsed/>
    <w:qFormat/>
    <w:uiPriority w:val="99"/>
    <w:pPr>
      <w:spacing w:after="120"/>
      <w:ind w:left="420" w:leftChars="200"/>
    </w:pPr>
    <w:rPr>
      <w:kern w:val="0"/>
      <w:sz w:val="20"/>
    </w:rPr>
  </w:style>
  <w:style w:type="paragraph" w:styleId="11">
    <w:name w:val="Body Text Indent 2"/>
    <w:basedOn w:val="1"/>
    <w:qFormat/>
    <w:uiPriority w:val="0"/>
    <w:pPr>
      <w:spacing w:line="360" w:lineRule="auto"/>
      <w:ind w:left="1260" w:leftChars="525"/>
    </w:pPr>
    <w:rPr>
      <w:rFonts w:ascii="宋体" w:hAnsi="宋体"/>
      <w:color w:val="000000"/>
      <w:sz w:val="24"/>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4"/>
    <w:qFormat/>
    <w:uiPriority w:val="0"/>
    <w:pPr>
      <w:tabs>
        <w:tab w:val="center" w:pos="4153"/>
        <w:tab w:val="right" w:pos="8306"/>
      </w:tabs>
      <w:snapToGrid w:val="0"/>
      <w:jc w:val="center"/>
    </w:pPr>
    <w:rPr>
      <w:sz w:val="18"/>
      <w:szCs w:val="18"/>
    </w:rPr>
  </w:style>
  <w:style w:type="paragraph" w:styleId="14">
    <w:name w:val="Normal (Web)"/>
    <w:basedOn w:val="1"/>
    <w:qFormat/>
    <w:uiPriority w:val="0"/>
    <w:pPr>
      <w:spacing w:beforeAutospacing="1" w:afterAutospacing="1"/>
    </w:pPr>
  </w:style>
  <w:style w:type="paragraph" w:styleId="15">
    <w:name w:val="Body Text First Indent 2"/>
    <w:basedOn w:val="10"/>
    <w:next w:val="1"/>
    <w:qFormat/>
    <w:uiPriority w:val="0"/>
    <w:pPr>
      <w:ind w:firstLine="420" w:firstLineChars="200"/>
    </w:pPr>
  </w:style>
  <w:style w:type="paragraph" w:customStyle="1" w:styleId="18">
    <w:name w:val="标书"/>
    <w:basedOn w:val="1"/>
    <w:qFormat/>
    <w:uiPriority w:val="0"/>
    <w:pPr>
      <w:widowControl/>
      <w:spacing w:line="360" w:lineRule="auto"/>
      <w:jc w:val="left"/>
    </w:pPr>
    <w:rPr>
      <w:rFonts w:hint="eastAsia" w:ascii="黑体" w:hAnsi="黑体" w:eastAsia="黑体" w:cs="Times New Roman"/>
      <w:color w:val="000000"/>
      <w:sz w:val="28"/>
      <w:szCs w:val="28"/>
    </w:rPr>
  </w:style>
  <w:style w:type="paragraph" w:customStyle="1" w:styleId="19">
    <w:name w:val="样式 标题 2 + Times New Roman 四号 非加粗 段前: 5 磅 段后: 0 磅 行距: 固定值 20..."/>
    <w:basedOn w:val="3"/>
    <w:qFormat/>
    <w:uiPriority w:val="0"/>
    <w:pPr>
      <w:spacing w:before="100" w:line="400" w:lineRule="exact"/>
      <w:jc w:val="center"/>
    </w:pPr>
    <w:rPr>
      <w:rFonts w:ascii="黑体" w:hAnsi="宋体" w:cs="宋体"/>
      <w:color w:val="000000"/>
      <w:sz w:val="28"/>
      <w:szCs w:val="28"/>
    </w:rPr>
  </w:style>
  <w:style w:type="paragraph" w:styleId="20">
    <w:name w:val="List Paragraph"/>
    <w:basedOn w:val="1"/>
    <w:link w:val="23"/>
    <w:qFormat/>
    <w:uiPriority w:val="34"/>
    <w:pPr>
      <w:ind w:firstLine="420" w:firstLineChars="200"/>
    </w:pPr>
  </w:style>
  <w:style w:type="character" w:customStyle="1" w:styleId="21">
    <w:name w:val="标题 4 字符"/>
    <w:basedOn w:val="17"/>
    <w:link w:val="4"/>
    <w:semiHidden/>
    <w:qFormat/>
    <w:uiPriority w:val="0"/>
    <w:rPr>
      <w:rFonts w:asciiTheme="majorHAnsi" w:hAnsiTheme="majorHAnsi" w:eastAsiaTheme="majorEastAsia" w:cstheme="majorBidi"/>
      <w:b/>
      <w:bCs/>
      <w:kern w:val="2"/>
      <w:sz w:val="28"/>
      <w:szCs w:val="28"/>
    </w:rPr>
  </w:style>
  <w:style w:type="character" w:customStyle="1" w:styleId="22">
    <w:name w:val="标题 5 字符"/>
    <w:basedOn w:val="17"/>
    <w:link w:val="5"/>
    <w:semiHidden/>
    <w:qFormat/>
    <w:uiPriority w:val="0"/>
    <w:rPr>
      <w:rFonts w:ascii="Arial" w:hAnsi="Arial" w:eastAsia="Arial" w:cs="Arial"/>
      <w:b/>
      <w:bCs/>
      <w:kern w:val="2"/>
      <w:sz w:val="28"/>
      <w:szCs w:val="28"/>
    </w:rPr>
  </w:style>
  <w:style w:type="character" w:customStyle="1" w:styleId="23">
    <w:name w:val="列出段落 字符"/>
    <w:link w:val="20"/>
    <w:qFormat/>
    <w:uiPriority w:val="34"/>
    <w:rPr>
      <w:rFonts w:ascii="Arial" w:hAnsi="Arial" w:eastAsia="Arial" w:cs="Arial"/>
      <w:kern w:val="2"/>
      <w:sz w:val="21"/>
      <w:szCs w:val="24"/>
    </w:rPr>
  </w:style>
  <w:style w:type="character" w:customStyle="1" w:styleId="24">
    <w:name w:val="页眉 字符"/>
    <w:basedOn w:val="17"/>
    <w:link w:val="13"/>
    <w:qFormat/>
    <w:uiPriority w:val="0"/>
    <w:rPr>
      <w:rFonts w:ascii="Arial" w:hAnsi="Arial" w:eastAsia="Arial" w:cs="Arial"/>
      <w:kern w:val="2"/>
      <w:sz w:val="18"/>
      <w:szCs w:val="18"/>
    </w:rPr>
  </w:style>
  <w:style w:type="character" w:customStyle="1" w:styleId="25">
    <w:name w:val="页脚 字符"/>
    <w:basedOn w:val="17"/>
    <w:link w:val="12"/>
    <w:qFormat/>
    <w:uiPriority w:val="99"/>
    <w:rPr>
      <w:rFonts w:ascii="Arial" w:hAnsi="Arial" w:eastAsia="Arial" w:cs="Arial"/>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14500</Words>
  <Characters>2275</Characters>
  <Lines>18</Lines>
  <Paragraphs>33</Paragraphs>
  <TotalTime>24</TotalTime>
  <ScaleCrop>false</ScaleCrop>
  <LinksUpToDate>false</LinksUpToDate>
  <CharactersWithSpaces>16742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2024-03-23T04:39:00Z</dcterms:created>
  <dc:creator>我在路上寻找阳光</dc:creator>
  <cp:lastModifiedBy>XG</cp:lastModifiedBy>
  <cp:lastPrinted>2024-04-17T09:03:23Z</cp:lastPrinted>
  <dcterms:modified xsi:type="dcterms:W3CDTF">2024-04-17T09:46:06Z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AB90920C926243219D85EB4C350667C3</vt:lpwstr>
  </property>
</Properties>
</file>